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8073F" w14:textId="77777777" w:rsidR="00000000" w:rsidRDefault="00581219">
      <w:pPr>
        <w:pStyle w:val="1"/>
        <w:rPr>
          <w:rFonts w:ascii="Calibri" w:hAnsi="Calibri" w:cs="Calibri"/>
        </w:rPr>
      </w:pPr>
      <w:r>
        <w:rPr>
          <w:rFonts w:ascii="Calibri" w:hAnsi="Calibri" w:cs="Calibri"/>
        </w:rPr>
        <w:t>GANA Group Rebranding Proposal — Practice Edition (Confidential specifics removed)</w:t>
      </w:r>
    </w:p>
    <w:p w14:paraId="67EABA60" w14:textId="77777777" w:rsidR="00000000" w:rsidRDefault="00581219">
      <w:pPr>
        <w:pStyle w:val="a3"/>
        <w:rPr>
          <w:rFonts w:ascii="Calibri" w:hAnsi="Calibri" w:cs="Calibri"/>
          <w:color w:val="1A1A1A"/>
          <w:sz w:val="26"/>
          <w:szCs w:val="26"/>
        </w:rPr>
      </w:pPr>
      <w:r>
        <w:rPr>
          <w:rFonts w:ascii="Calibri" w:hAnsi="Calibri" w:cs="Calibri"/>
          <w:i/>
          <w:iCs/>
          <w:color w:val="5B6B7B"/>
          <w:sz w:val="26"/>
          <w:szCs w:val="26"/>
        </w:rPr>
        <w:t>Shift of the Brand Axis and Execution Plan · for English delivery practice</w:t>
      </w:r>
    </w:p>
    <w:p w14:paraId="32FCE172" w14:textId="77777777" w:rsidR="00000000" w:rsidRDefault="00581219">
      <w:pPr>
        <w:pStyle w:val="a3"/>
        <w:rPr>
          <w:rFonts w:ascii="Calibri" w:hAnsi="Calibri" w:cs="Calibri"/>
          <w:color w:val="1A1A1A"/>
          <w:sz w:val="26"/>
          <w:szCs w:val="26"/>
        </w:rPr>
      </w:pPr>
      <w:r>
        <w:rPr>
          <w:rFonts w:ascii="Calibri" w:hAnsi="Calibri" w:cs="Calibri"/>
          <w:i/>
          <w:iCs/>
          <w:color w:val="5B6B7B"/>
          <w:sz w:val="26"/>
          <w:szCs w:val="26"/>
        </w:rPr>
        <w:t>Note: registration numbers, capacity figures, certificate IDs, partner names, and internal security details have been removed or generalized. This version is for reading aloud only.</w:t>
      </w:r>
    </w:p>
    <w:p w14:paraId="2A61B3D3" w14:textId="77777777" w:rsidR="00000000" w:rsidRDefault="00581219">
      <w:pPr>
        <w:spacing w:before="280" w:after="280"/>
        <w:rPr>
          <w:rFonts w:ascii="Calibri" w:hAnsi="Calibri" w:cs="Calibri"/>
          <w:color w:val="1A1A1A"/>
          <w:sz w:val="26"/>
          <w:szCs w:val="26"/>
        </w:rPr>
      </w:pPr>
      <w:r>
        <w:rPr>
          <w:rFonts w:ascii="Calibri" w:hAnsi="Calibri" w:cs="Calibri"/>
          <w:color w:val="1A1A1A"/>
          <w:sz w:val="26"/>
          <w:szCs w:val="26"/>
        </w:rPr>
        <w:pict w14:anchorId="0FFE5EBD">
          <v:rect id="_x0000_i1025" style="width:0;height:1.5pt" o:hralign="center" o:hrstd="t" o:hr="t" fillcolor="#a0a0a0" stroked="f"/>
        </w:pict>
      </w:r>
    </w:p>
    <w:p w14:paraId="013C5E3A" w14:textId="77777777" w:rsidR="00000000" w:rsidRDefault="00581219">
      <w:pPr>
        <w:pStyle w:val="2"/>
        <w:rPr>
          <w:rFonts w:ascii="Calibri" w:hAnsi="Calibri" w:cs="Calibri"/>
        </w:rPr>
      </w:pPr>
      <w:r>
        <w:rPr>
          <w:rFonts w:ascii="Calibri" w:hAnsi="Calibri" w:cs="Calibri"/>
        </w:rPr>
        <w:t>Executive Summary</w:t>
      </w:r>
    </w:p>
    <w:p w14:paraId="03F78FDF"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This proposal recomm</w:t>
      </w:r>
      <w:r>
        <w:rPr>
          <w:rFonts w:ascii="Calibri" w:hAnsi="Calibri" w:cs="Calibri"/>
          <w:color w:val="1A1A1A"/>
          <w:sz w:val="26"/>
          <w:szCs w:val="26"/>
        </w:rPr>
        <w:t xml:space="preserve">ends adding a proof axis — </w:t>
      </w:r>
      <w:r>
        <w:rPr>
          <w:rFonts w:ascii="Calibri" w:hAnsi="Calibri" w:cs="Calibri"/>
          <w:b/>
          <w:bCs/>
          <w:color w:val="1A1A1A"/>
          <w:sz w:val="26"/>
          <w:szCs w:val="26"/>
        </w:rPr>
        <w:t>manufacturer identity</w:t>
      </w:r>
      <w:r>
        <w:rPr>
          <w:rFonts w:ascii="Calibri" w:hAnsi="Calibri" w:cs="Calibri"/>
          <w:color w:val="1A1A1A"/>
          <w:sz w:val="26"/>
          <w:szCs w:val="26"/>
        </w:rPr>
        <w:t xml:space="preserve"> — to the GANA Group's external brand. Nothing existing is removed. Anti-aging, the "world's largest class" positioning, and all six affiliates stay in place. To these we add the proof (registrations) and the</w:t>
      </w:r>
      <w:r>
        <w:rPr>
          <w:rFonts w:ascii="Calibri" w:hAnsi="Calibri" w:cs="Calibri"/>
          <w:color w:val="1A1A1A"/>
          <w:sz w:val="26"/>
          <w:szCs w:val="26"/>
        </w:rPr>
        <w:t xml:space="preserve"> measurement standard (the ruler) that hold the claims up under due diligence.</w:t>
      </w:r>
    </w:p>
    <w:p w14:paraId="4B57055A" w14:textId="77777777" w:rsidR="00000000" w:rsidRDefault="00581219">
      <w:pPr>
        <w:pStyle w:val="a3"/>
        <w:rPr>
          <w:rFonts w:ascii="Calibri" w:hAnsi="Calibri" w:cs="Calibri"/>
          <w:color w:val="1A1A1A"/>
          <w:sz w:val="26"/>
          <w:szCs w:val="26"/>
        </w:rPr>
      </w:pPr>
      <w:r>
        <w:rPr>
          <w:rFonts w:ascii="Calibri" w:hAnsi="Calibri" w:cs="Calibri"/>
          <w:b/>
          <w:bCs/>
          <w:color w:val="1A1A1A"/>
          <w:sz w:val="26"/>
          <w:szCs w:val="26"/>
        </w:rPr>
        <w:t>Not a filler company: bio-manufacturing infrastructure.</w:t>
      </w:r>
    </w:p>
    <w:p w14:paraId="64751A87"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This is not a new direction. The company's own CDMO video already says "one of the world's largest and most advanced AAV </w:t>
      </w:r>
      <w:r>
        <w:rPr>
          <w:rFonts w:ascii="Calibri" w:hAnsi="Calibri" w:cs="Calibri"/>
          <w:color w:val="1A1A1A"/>
          <w:sz w:val="26"/>
          <w:szCs w:val="26"/>
        </w:rPr>
        <w:t>production capacities," and internal technical materials already define the external language as "not a filler company but bio-manufacturing infrastructure." The most recent assets already stand on this axis; the website and print materials have not yet ca</w:t>
      </w:r>
      <w:r>
        <w:rPr>
          <w:rFonts w:ascii="Calibri" w:hAnsi="Calibri" w:cs="Calibri"/>
          <w:color w:val="1A1A1A"/>
          <w:sz w:val="26"/>
          <w:szCs w:val="26"/>
        </w:rPr>
        <w:t>ught up. What this proposal asks for is not a change of direction but alignment.</w:t>
      </w:r>
    </w:p>
    <w:p w14:paraId="7B879CE8"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 reason is simple. The phrase "we care for aging" carries no distinguishing power, because the cosmetics, filler, and supplement industries all use it — and the moment it i</w:t>
      </w:r>
      <w:r>
        <w:rPr>
          <w:rFonts w:ascii="Calibri" w:hAnsi="Calibri" w:cs="Calibri"/>
          <w:color w:val="1A1A1A"/>
          <w:sz w:val="26"/>
          <w:szCs w:val="26"/>
        </w:rPr>
        <w:t>s spoken, it invites the return question, "how do you prove that?" Moving the axis to manufacturer identity does not make that question disappear. Instead it changes it into an answerable form: "show us the registrations." GANA R&amp;D is listed as the manufac</w:t>
      </w:r>
      <w:r>
        <w:rPr>
          <w:rFonts w:ascii="Calibri" w:hAnsi="Calibri" w:cs="Calibri"/>
          <w:color w:val="1A1A1A"/>
          <w:sz w:val="26"/>
          <w:szCs w:val="26"/>
        </w:rPr>
        <w:t>turer on 38 product registrations across 5 jurisdictions, and the numbers can be produced on request.</w:t>
      </w:r>
    </w:p>
    <w:p w14:paraId="1C9B77C1"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 axis applies to different depths by layer. The surface and tissue layers are in the completed tense, proven by registration numbers. The cell-and-gene</w:t>
      </w:r>
      <w:r>
        <w:rPr>
          <w:rFonts w:ascii="Calibri" w:hAnsi="Calibri" w:cs="Calibri"/>
          <w:color w:val="1A1A1A"/>
          <w:sz w:val="26"/>
          <w:szCs w:val="26"/>
        </w:rPr>
        <w:t xml:space="preserve"> layer is described in the ongoing tense, because construction is finished but certification has not yet been obtained: we built it, and certification is targeted for 2026. We do not bind the two ends under a single subject.</w:t>
      </w:r>
    </w:p>
    <w:p w14:paraId="134DEA2D"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There is one precondition, but </w:t>
      </w:r>
      <w:r>
        <w:rPr>
          <w:rFonts w:ascii="Calibri" w:hAnsi="Calibri" w:cs="Calibri"/>
          <w:color w:val="1A1A1A"/>
          <w:sz w:val="26"/>
          <w:szCs w:val="26"/>
        </w:rPr>
        <w:t xml:space="preserve">its scope is narrow. Our own materials give several conflicting capacity figures — the result of each material being frozen at a different </w:t>
      </w:r>
      <w:r>
        <w:rPr>
          <w:rFonts w:ascii="Calibri" w:hAnsi="Calibri" w:cs="Calibri"/>
          <w:color w:val="1A1A1A"/>
          <w:sz w:val="26"/>
          <w:szCs w:val="26"/>
        </w:rPr>
        <w:lastRenderedPageBreak/>
        <w:t>point in time. The required action is not a wholesale rewrite but a freeze of that figure, while the rest of the work</w:t>
      </w:r>
      <w:r>
        <w:rPr>
          <w:rFonts w:ascii="Calibri" w:hAnsi="Calibri" w:cs="Calibri"/>
          <w:color w:val="1A1A1A"/>
          <w:sz w:val="26"/>
          <w:szCs w:val="26"/>
        </w:rPr>
        <w:t xml:space="preserve"> proceeds in parallel.</w:t>
      </w:r>
    </w:p>
    <w:p w14:paraId="2F1D89A1"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There are four approval requests, made concrete in Part 2. The first, immediate web cleanup, can begin at no cost regardless of the decision on the axis.</w:t>
      </w:r>
    </w:p>
    <w:p w14:paraId="1B35B1B1" w14:textId="77777777" w:rsidR="00000000" w:rsidRDefault="00581219">
      <w:pPr>
        <w:pStyle w:val="3"/>
        <w:rPr>
          <w:rFonts w:ascii="Calibri" w:hAnsi="Calibri" w:cs="Calibri"/>
        </w:rPr>
      </w:pPr>
      <w:r>
        <w:rPr>
          <w:rFonts w:ascii="Calibri" w:hAnsi="Calibri" w:cs="Calibri"/>
        </w:rPr>
        <w:t>Nature of the Strategy: Positioning First</w:t>
      </w:r>
    </w:p>
    <w:p w14:paraId="75EEA2B9"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This is a positioning strategy, not a</w:t>
      </w:r>
      <w:r>
        <w:rPr>
          <w:rFonts w:ascii="Calibri" w:hAnsi="Calibri" w:cs="Calibri"/>
          <w:color w:val="1A1A1A"/>
          <w:sz w:val="26"/>
          <w:szCs w:val="26"/>
        </w:rPr>
        <w:t>n advertising or promotion plan. Positioning is not one line item of marketing but the foundation on which all marketing rests. If the position is not set, no wording, channel, or budget layered on top will hold steady. So we set the axis before channels a</w:t>
      </w:r>
      <w:r>
        <w:rPr>
          <w:rFonts w:ascii="Calibri" w:hAnsi="Calibri" w:cs="Calibri"/>
          <w:color w:val="1A1A1A"/>
          <w:sz w:val="26"/>
          <w:szCs w:val="26"/>
        </w:rPr>
        <w:t>nd campaigns.</w:t>
      </w:r>
    </w:p>
    <w:p w14:paraId="5EE581B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In manufacturing-based B2B, the right move is to claim a clear position and then hold it with proof, rather than putting on a loud display. Our assets are not shouts but registrations, certifications, and track record — and these carry more f</w:t>
      </w:r>
      <w:r>
        <w:rPr>
          <w:rFonts w:ascii="Calibri" w:hAnsi="Calibri" w:cs="Calibri"/>
          <w:color w:val="1A1A1A"/>
          <w:sz w:val="26"/>
          <w:szCs w:val="26"/>
        </w:rPr>
        <w:t>orce when confirmed than when trumpeted.</w:t>
      </w:r>
    </w:p>
    <w:p w14:paraId="25AE936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There are two grounds for believing this works. </w:t>
      </w:r>
      <w:r>
        <w:rPr>
          <w:rFonts w:ascii="Calibri" w:hAnsi="Calibri" w:cs="Calibri"/>
          <w:b/>
          <w:bCs/>
          <w:color w:val="1A1A1A"/>
          <w:sz w:val="26"/>
          <w:szCs w:val="26"/>
        </w:rPr>
        <w:t>First, the evidence of results:</w:t>
      </w:r>
      <w:r>
        <w:rPr>
          <w:rFonts w:ascii="Calibri" w:hAnsi="Calibri" w:cs="Calibri"/>
          <w:color w:val="1A1A1A"/>
          <w:sz w:val="26"/>
          <w:szCs w:val="26"/>
        </w:rPr>
        <w:t xml:space="preserve"> GANA R&amp;D grew for 13 years on nothing more than the current level of website. That does not mean the web is unnecessary; it means the p</w:t>
      </w:r>
      <w:r>
        <w:rPr>
          <w:rFonts w:ascii="Calibri" w:hAnsi="Calibri" w:cs="Calibri"/>
          <w:color w:val="1A1A1A"/>
          <w:sz w:val="26"/>
          <w:szCs w:val="26"/>
        </w:rPr>
        <w:t>roducts and the manufacturing record were strong enough to grow even without a web presence. Awareness of that growth simply accumulated at the distribution layer that stood in for demand generation. The substance is already proven; the one thing not yet a</w:t>
      </w:r>
      <w:r>
        <w:rPr>
          <w:rFonts w:ascii="Calibri" w:hAnsi="Calibri" w:cs="Calibri"/>
          <w:color w:val="1A1A1A"/>
          <w:sz w:val="26"/>
          <w:szCs w:val="26"/>
        </w:rPr>
        <w:t xml:space="preserve">ttributed to us is awareness. </w:t>
      </w:r>
      <w:r>
        <w:rPr>
          <w:rFonts w:ascii="Calibri" w:hAnsi="Calibri" w:cs="Calibri"/>
          <w:b/>
          <w:bCs/>
          <w:color w:val="1A1A1A"/>
          <w:sz w:val="26"/>
          <w:szCs w:val="26"/>
        </w:rPr>
        <w:t>Second, the signal in timing:</w:t>
      </w:r>
      <w:r>
        <w:rPr>
          <w:rFonts w:ascii="Calibri" w:hAnsi="Calibri" w:cs="Calibri"/>
          <w:color w:val="1A1A1A"/>
          <w:sz w:val="26"/>
          <w:szCs w:val="26"/>
        </w:rPr>
        <w:t xml:space="preserve"> outside parties have begun to notice our manufacturing and facility capabilities on their own. The record has reached a threshold, and inbound interest is beginning. Yet a party who comes to confi</w:t>
      </w:r>
      <w:r>
        <w:rPr>
          <w:rFonts w:ascii="Calibri" w:hAnsi="Calibri" w:cs="Calibri"/>
          <w:color w:val="1A1A1A"/>
          <w:sz w:val="26"/>
          <w:szCs w:val="26"/>
        </w:rPr>
        <w:t>rm us finds nothing to take away — zero registration numbers are published, though the certifications and record already exist.</w:t>
      </w:r>
    </w:p>
    <w:p w14:paraId="355A10FE"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In conclusion, this strategy is not about inventing a new claim. It is about placing already-accumulated assets where they belon</w:t>
      </w:r>
      <w:r>
        <w:rPr>
          <w:rFonts w:ascii="Calibri" w:hAnsi="Calibri" w:cs="Calibri"/>
          <w:color w:val="1A1A1A"/>
          <w:sz w:val="26"/>
          <w:szCs w:val="26"/>
        </w:rPr>
        <w:t>g, so that the interest coming in resolves into confirmation. That is why we call this a positioning strategy.</w:t>
      </w:r>
    </w:p>
    <w:p w14:paraId="5B4A9EB0" w14:textId="77777777" w:rsidR="00000000" w:rsidRDefault="00581219">
      <w:pPr>
        <w:spacing w:before="280" w:after="280"/>
        <w:rPr>
          <w:rFonts w:ascii="Calibri" w:hAnsi="Calibri" w:cs="Calibri"/>
          <w:color w:val="1A1A1A"/>
          <w:sz w:val="26"/>
          <w:szCs w:val="26"/>
        </w:rPr>
      </w:pPr>
      <w:r>
        <w:rPr>
          <w:rFonts w:ascii="Calibri" w:hAnsi="Calibri" w:cs="Calibri"/>
          <w:color w:val="1A1A1A"/>
          <w:sz w:val="26"/>
          <w:szCs w:val="26"/>
        </w:rPr>
        <w:pict w14:anchorId="2C8541CB">
          <v:rect id="_x0000_i1026" style="width:0;height:1.5pt" o:hralign="center" o:hrstd="t" o:hr="t" fillcolor="#a0a0a0" stroked="f"/>
        </w:pict>
      </w:r>
    </w:p>
    <w:p w14:paraId="58B6AB8A" w14:textId="77777777" w:rsidR="00000000" w:rsidRDefault="00581219">
      <w:pPr>
        <w:pStyle w:val="2"/>
        <w:rPr>
          <w:rFonts w:ascii="Calibri" w:hAnsi="Calibri" w:cs="Calibri"/>
        </w:rPr>
      </w:pPr>
      <w:r>
        <w:rPr>
          <w:rFonts w:ascii="Calibri" w:hAnsi="Calibri" w:cs="Calibri"/>
        </w:rPr>
        <w:t>Part 1 · Rebranding Direction</w:t>
      </w:r>
    </w:p>
    <w:p w14:paraId="72DFB2A8" w14:textId="77777777" w:rsidR="00000000" w:rsidRDefault="00581219">
      <w:pPr>
        <w:pStyle w:val="3"/>
        <w:rPr>
          <w:rFonts w:ascii="Calibri" w:hAnsi="Calibri" w:cs="Calibri"/>
        </w:rPr>
      </w:pPr>
      <w:r>
        <w:rPr>
          <w:rFonts w:ascii="Calibri" w:hAnsi="Calibri" w:cs="Calibri"/>
        </w:rPr>
        <w:t>1. The Problem</w:t>
      </w:r>
    </w:p>
    <w:p w14:paraId="0AD5DBF5"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Three things are true of our current external message, and each</w:t>
      </w:r>
      <w:r>
        <w:rPr>
          <w:rFonts w:ascii="Calibri" w:hAnsi="Calibri" w:cs="Calibri"/>
          <w:color w:val="1A1A1A"/>
          <w:sz w:val="26"/>
          <w:szCs w:val="26"/>
        </w:rPr>
        <w:t xml:space="preserve"> can be confirmed within minutes.</w:t>
      </w:r>
    </w:p>
    <w:p w14:paraId="49640279" w14:textId="77777777" w:rsidR="00000000" w:rsidRDefault="00581219">
      <w:pPr>
        <w:numPr>
          <w:ilvl w:val="0"/>
          <w:numId w:val="1"/>
        </w:numPr>
        <w:spacing w:before="100" w:after="100"/>
        <w:rPr>
          <w:rFonts w:ascii="Calibri" w:hAnsi="Calibri" w:cs="Calibri"/>
          <w:color w:val="1A1A1A"/>
          <w:sz w:val="26"/>
          <w:szCs w:val="26"/>
        </w:rPr>
      </w:pPr>
      <w:r>
        <w:rPr>
          <w:rFonts w:ascii="Calibri" w:hAnsi="Calibri" w:cs="Calibri"/>
          <w:b/>
          <w:bCs/>
          <w:color w:val="1A1A1A"/>
          <w:sz w:val="26"/>
          <w:szCs w:val="26"/>
        </w:rPr>
        <w:t>The phrase is not ours.</w:t>
      </w:r>
      <w:r>
        <w:rPr>
          <w:rFonts w:ascii="Calibri" w:hAnsi="Calibri" w:cs="Calibri"/>
          <w:color w:val="1A1A1A"/>
          <w:sz w:val="26"/>
          <w:szCs w:val="26"/>
        </w:rPr>
        <w:t xml:space="preserve"> "We care for aging" is used, word for word, by cosmetics, filler, and supplement companies alike. A sentence every </w:t>
      </w:r>
      <w:r>
        <w:rPr>
          <w:rFonts w:ascii="Calibri" w:hAnsi="Calibri" w:cs="Calibri"/>
          <w:color w:val="1A1A1A"/>
          <w:sz w:val="26"/>
          <w:szCs w:val="26"/>
        </w:rPr>
        <w:lastRenderedPageBreak/>
        <w:t>competitor can say together carries no distinguishing power, however polished it is</w:t>
      </w:r>
      <w:r>
        <w:rPr>
          <w:rFonts w:ascii="Calibri" w:hAnsi="Calibri" w:cs="Calibri"/>
          <w:color w:val="1A1A1A"/>
          <w:sz w:val="26"/>
          <w:szCs w:val="26"/>
        </w:rPr>
        <w:t>.</w:t>
      </w:r>
    </w:p>
    <w:p w14:paraId="1CBFA5D7" w14:textId="77777777" w:rsidR="00000000" w:rsidRDefault="00581219">
      <w:pPr>
        <w:numPr>
          <w:ilvl w:val="0"/>
          <w:numId w:val="1"/>
        </w:numPr>
        <w:spacing w:before="100" w:after="100"/>
        <w:rPr>
          <w:rFonts w:ascii="Calibri" w:hAnsi="Calibri" w:cs="Calibri"/>
          <w:color w:val="1A1A1A"/>
          <w:sz w:val="26"/>
          <w:szCs w:val="26"/>
        </w:rPr>
      </w:pPr>
      <w:r>
        <w:rPr>
          <w:rFonts w:ascii="Calibri" w:hAnsi="Calibri" w:cs="Calibri"/>
          <w:b/>
          <w:bCs/>
          <w:color w:val="1A1A1A"/>
          <w:sz w:val="26"/>
          <w:szCs w:val="26"/>
        </w:rPr>
        <w:t>We publish none of our registration numbers.</w:t>
      </w:r>
      <w:r>
        <w:rPr>
          <w:rFonts w:ascii="Calibri" w:hAnsi="Calibri" w:cs="Calibri"/>
          <w:color w:val="1A1A1A"/>
          <w:sz w:val="26"/>
          <w:szCs w:val="26"/>
        </w:rPr>
        <w:t xml:space="preserve"> GANA R&amp;D is listed as the manufacturer on 38 product registrations across 5 jurisdictions. The number published on our own channels is zero. In their place sits a claim that references a regulatory body which </w:t>
      </w:r>
      <w:r>
        <w:rPr>
          <w:rFonts w:ascii="Calibri" w:hAnsi="Calibri" w:cs="Calibri"/>
          <w:color w:val="1A1A1A"/>
          <w:sz w:val="26"/>
          <w:szCs w:val="26"/>
        </w:rPr>
        <w:t>does not exist.</w:t>
      </w:r>
    </w:p>
    <w:p w14:paraId="7F49E053" w14:textId="77777777" w:rsidR="00000000" w:rsidRDefault="00581219">
      <w:pPr>
        <w:numPr>
          <w:ilvl w:val="0"/>
          <w:numId w:val="1"/>
        </w:numPr>
        <w:spacing w:before="100" w:after="100"/>
        <w:rPr>
          <w:rFonts w:ascii="Calibri" w:hAnsi="Calibri" w:cs="Calibri"/>
          <w:color w:val="1A1A1A"/>
          <w:sz w:val="26"/>
          <w:szCs w:val="26"/>
        </w:rPr>
      </w:pPr>
      <w:r>
        <w:rPr>
          <w:rFonts w:ascii="Calibri" w:hAnsi="Calibri" w:cs="Calibri"/>
          <w:b/>
          <w:bCs/>
          <w:color w:val="1A1A1A"/>
          <w:sz w:val="26"/>
          <w:szCs w:val="26"/>
        </w:rPr>
        <w:t>We do not appear in our own search results.</w:t>
      </w:r>
      <w:r>
        <w:rPr>
          <w:rFonts w:ascii="Calibri" w:hAnsi="Calibri" w:cs="Calibri"/>
          <w:color w:val="1A1A1A"/>
          <w:sz w:val="26"/>
          <w:szCs w:val="26"/>
        </w:rPr>
        <w:t xml:space="preserve"> Distributor sites come up first. This is not brand infringement but an arithmetic outcome: for 13 years distributors performed demand generation, and awareness equity accumulated with the party th</w:t>
      </w:r>
      <w:r>
        <w:rPr>
          <w:rFonts w:ascii="Calibri" w:hAnsi="Calibri" w:cs="Calibri"/>
          <w:color w:val="1A1A1A"/>
          <w:sz w:val="26"/>
          <w:szCs w:val="26"/>
        </w:rPr>
        <w:t>at did the work.</w:t>
      </w:r>
    </w:p>
    <w:p w14:paraId="502FCB55"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 problem is not that we lack the credentials. It is that we are not using the credentials we hold.</w:t>
      </w:r>
    </w:p>
    <w:p w14:paraId="54986D65" w14:textId="77777777" w:rsidR="00000000" w:rsidRDefault="00581219">
      <w:pPr>
        <w:pStyle w:val="3"/>
        <w:rPr>
          <w:rFonts w:ascii="Calibri" w:hAnsi="Calibri" w:cs="Calibri"/>
        </w:rPr>
      </w:pPr>
      <w:r>
        <w:rPr>
          <w:rFonts w:ascii="Calibri" w:hAnsi="Calibri" w:cs="Calibri"/>
        </w:rPr>
        <w:t>2. The Solution</w:t>
      </w:r>
    </w:p>
    <w:p w14:paraId="76A99CA5"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We do not change the claim. We attach proof to it. "World's largest class" and anti-aging both stay, refined into a measurable and verifiable form that shuts down nitpicking at the source.</w:t>
      </w:r>
    </w:p>
    <w:p w14:paraId="63EB67C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Most players in this market are brands that outsource manufacturing</w:t>
      </w:r>
      <w:r>
        <w:rPr>
          <w:rFonts w:ascii="Calibri" w:hAnsi="Calibri" w:cs="Calibri"/>
          <w:color w:val="1A1A1A"/>
          <w:sz w:val="26"/>
          <w:szCs w:val="26"/>
        </w:rPr>
        <w:t>. We are not. In a B2B setting this distinction needs no explanation, and a competitor without a factory cannot copy it.</w:t>
      </w:r>
    </w:p>
    <w:p w14:paraId="58F9A858"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This shift does not eliminate the return question, "how do you prove that?" It changes it into "show us the registrations," to which we</w:t>
      </w:r>
      <w:r>
        <w:rPr>
          <w:rFonts w:ascii="Calibri" w:hAnsi="Calibri" w:cs="Calibri"/>
          <w:color w:val="1A1A1A"/>
          <w:sz w:val="26"/>
          <w:szCs w:val="26"/>
        </w:rPr>
        <w:t xml:space="preserve"> already hold the answer. What changes is not what we do, but what we ask people to believe.</w:t>
      </w:r>
    </w:p>
    <w:p w14:paraId="7CBC0A63" w14:textId="77777777" w:rsidR="00000000" w:rsidRDefault="00581219">
      <w:pPr>
        <w:pStyle w:val="3"/>
        <w:rPr>
          <w:rFonts w:ascii="Calibri" w:hAnsi="Calibri" w:cs="Calibri"/>
        </w:rPr>
      </w:pPr>
      <w:r>
        <w:rPr>
          <w:rFonts w:ascii="Calibri" w:hAnsi="Calibri" w:cs="Calibri"/>
        </w:rPr>
        <w:t>3. The Evidence</w:t>
      </w:r>
    </w:p>
    <w:p w14:paraId="54E770AC"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38 product registrations. 5 jurisdictions. GANA R&amp;D listed as the manufacturer on every one.</w:t>
      </w:r>
    </w:p>
    <w:p w14:paraId="4DDA684D" w14:textId="77777777" w:rsidR="00000000" w:rsidRDefault="00581219">
      <w:pPr>
        <w:numPr>
          <w:ilvl w:val="0"/>
          <w:numId w:val="2"/>
        </w:numPr>
        <w:spacing w:before="100" w:after="100"/>
        <w:rPr>
          <w:rFonts w:ascii="Calibri" w:hAnsi="Calibri" w:cs="Calibri"/>
          <w:color w:val="1A1A1A"/>
          <w:sz w:val="26"/>
          <w:szCs w:val="26"/>
        </w:rPr>
      </w:pPr>
      <w:r>
        <w:rPr>
          <w:rFonts w:ascii="Calibri" w:hAnsi="Calibri" w:cs="Calibri"/>
          <w:b/>
          <w:bCs/>
          <w:color w:val="1A1A1A"/>
          <w:sz w:val="26"/>
          <w:szCs w:val="26"/>
        </w:rPr>
        <w:t>United Kingdom (MHRA):</w:t>
      </w:r>
      <w:r>
        <w:rPr>
          <w:rFonts w:ascii="Calibri" w:hAnsi="Calibri" w:cs="Calibri"/>
          <w:color w:val="1A1A1A"/>
          <w:sz w:val="26"/>
          <w:szCs w:val="26"/>
        </w:rPr>
        <w:t xml:space="preserve"> one registration, highest risk </w:t>
      </w:r>
      <w:r>
        <w:rPr>
          <w:rFonts w:ascii="Calibri" w:hAnsi="Calibri" w:cs="Calibri"/>
          <w:color w:val="1A1A1A"/>
          <w:sz w:val="26"/>
          <w:szCs w:val="26"/>
        </w:rPr>
        <w:t>class.</w:t>
      </w:r>
    </w:p>
    <w:p w14:paraId="4EE02870" w14:textId="77777777" w:rsidR="00000000" w:rsidRDefault="00581219">
      <w:pPr>
        <w:numPr>
          <w:ilvl w:val="0"/>
          <w:numId w:val="2"/>
        </w:numPr>
        <w:spacing w:before="100" w:after="100"/>
        <w:rPr>
          <w:rFonts w:ascii="Calibri" w:hAnsi="Calibri" w:cs="Calibri"/>
          <w:color w:val="1A1A1A"/>
          <w:sz w:val="26"/>
          <w:szCs w:val="26"/>
        </w:rPr>
      </w:pPr>
      <w:r>
        <w:rPr>
          <w:rFonts w:ascii="Calibri" w:hAnsi="Calibri" w:cs="Calibri"/>
          <w:b/>
          <w:bCs/>
          <w:color w:val="1A1A1A"/>
          <w:sz w:val="26"/>
          <w:szCs w:val="26"/>
        </w:rPr>
        <w:t>European Union (EUDAMED):</w:t>
      </w:r>
      <w:r>
        <w:rPr>
          <w:rFonts w:ascii="Calibri" w:hAnsi="Calibri" w:cs="Calibri"/>
          <w:color w:val="1A1A1A"/>
          <w:sz w:val="26"/>
          <w:szCs w:val="26"/>
        </w:rPr>
        <w:t xml:space="preserve"> active manufacturer registration.</w:t>
      </w:r>
    </w:p>
    <w:p w14:paraId="087C420F" w14:textId="77777777" w:rsidR="00000000" w:rsidRDefault="00581219">
      <w:pPr>
        <w:numPr>
          <w:ilvl w:val="0"/>
          <w:numId w:val="2"/>
        </w:numPr>
        <w:spacing w:before="100" w:after="100"/>
        <w:rPr>
          <w:rFonts w:ascii="Calibri" w:hAnsi="Calibri" w:cs="Calibri"/>
          <w:color w:val="1A1A1A"/>
          <w:sz w:val="26"/>
          <w:szCs w:val="26"/>
        </w:rPr>
      </w:pPr>
      <w:r>
        <w:rPr>
          <w:rFonts w:ascii="Calibri" w:hAnsi="Calibri" w:cs="Calibri"/>
          <w:b/>
          <w:bCs/>
          <w:color w:val="1A1A1A"/>
          <w:sz w:val="26"/>
          <w:szCs w:val="26"/>
        </w:rPr>
        <w:t>Brazil (ANVISA):</w:t>
      </w:r>
      <w:r>
        <w:rPr>
          <w:rFonts w:ascii="Calibri" w:hAnsi="Calibri" w:cs="Calibri"/>
          <w:color w:val="1A1A1A"/>
          <w:sz w:val="26"/>
          <w:szCs w:val="26"/>
        </w:rPr>
        <w:t xml:space="preserve"> two registrations, highest risk class.</w:t>
      </w:r>
    </w:p>
    <w:p w14:paraId="21FEE61C" w14:textId="77777777" w:rsidR="00000000" w:rsidRDefault="00581219">
      <w:pPr>
        <w:numPr>
          <w:ilvl w:val="0"/>
          <w:numId w:val="2"/>
        </w:numPr>
        <w:spacing w:before="100" w:after="100"/>
        <w:rPr>
          <w:rFonts w:ascii="Calibri" w:hAnsi="Calibri" w:cs="Calibri"/>
          <w:color w:val="1A1A1A"/>
          <w:sz w:val="26"/>
          <w:szCs w:val="26"/>
        </w:rPr>
      </w:pPr>
      <w:r>
        <w:rPr>
          <w:rFonts w:ascii="Calibri" w:hAnsi="Calibri" w:cs="Calibri"/>
          <w:b/>
          <w:bCs/>
          <w:color w:val="1A1A1A"/>
          <w:sz w:val="26"/>
          <w:szCs w:val="26"/>
        </w:rPr>
        <w:t>Russia (Roszdravnadzor):</w:t>
      </w:r>
      <w:r>
        <w:rPr>
          <w:rFonts w:ascii="Calibri" w:hAnsi="Calibri" w:cs="Calibri"/>
          <w:color w:val="1A1A1A"/>
          <w:sz w:val="26"/>
          <w:szCs w:val="26"/>
        </w:rPr>
        <w:t xml:space="preserve"> eight registrations — four ingredient families plus a wound dressing.</w:t>
      </w:r>
    </w:p>
    <w:p w14:paraId="4ACE7D8A" w14:textId="77777777" w:rsidR="00000000" w:rsidRDefault="00581219">
      <w:pPr>
        <w:numPr>
          <w:ilvl w:val="0"/>
          <w:numId w:val="2"/>
        </w:numPr>
        <w:spacing w:before="100" w:after="100"/>
        <w:rPr>
          <w:rFonts w:ascii="Calibri" w:hAnsi="Calibri" w:cs="Calibri"/>
          <w:color w:val="1A1A1A"/>
          <w:sz w:val="26"/>
          <w:szCs w:val="26"/>
        </w:rPr>
      </w:pPr>
      <w:r>
        <w:rPr>
          <w:rFonts w:ascii="Calibri" w:hAnsi="Calibri" w:cs="Calibri"/>
          <w:b/>
          <w:bCs/>
          <w:color w:val="1A1A1A"/>
          <w:sz w:val="26"/>
          <w:szCs w:val="26"/>
        </w:rPr>
        <w:t>Korea (MFDS):</w:t>
      </w:r>
      <w:r>
        <w:rPr>
          <w:rFonts w:ascii="Calibri" w:hAnsi="Calibri" w:cs="Calibri"/>
          <w:color w:val="1A1A1A"/>
          <w:sz w:val="26"/>
          <w:szCs w:val="26"/>
        </w:rPr>
        <w:t xml:space="preserve"> twenty-seven registratio</w:t>
      </w:r>
      <w:r>
        <w:rPr>
          <w:rFonts w:ascii="Calibri" w:hAnsi="Calibri" w:cs="Calibri"/>
          <w:color w:val="1A1A1A"/>
          <w:sz w:val="26"/>
          <w:szCs w:val="26"/>
        </w:rPr>
        <w:t>ns, mostly for export, with a current GMP certificate.</w:t>
      </w:r>
    </w:p>
    <w:p w14:paraId="6EB2E7E7"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 eight Russian registrations reward a close look. Four distinct ingredient families are registered under a single manufacturer name. That breadth does not come from </w:t>
      </w:r>
      <w:r>
        <w:rPr>
          <w:rFonts w:ascii="Calibri" w:hAnsi="Calibri" w:cs="Calibri"/>
          <w:color w:val="1A1A1A"/>
          <w:sz w:val="26"/>
          <w:szCs w:val="26"/>
        </w:rPr>
        <w:lastRenderedPageBreak/>
        <w:t>a single product line; it appears</w:t>
      </w:r>
      <w:r>
        <w:rPr>
          <w:rFonts w:ascii="Calibri" w:hAnsi="Calibri" w:cs="Calibri"/>
          <w:color w:val="1A1A1A"/>
          <w:sz w:val="26"/>
          <w:szCs w:val="26"/>
        </w:rPr>
        <w:t xml:space="preserve"> when a company compounds and fills across several chemical families.</w:t>
      </w:r>
    </w:p>
    <w:p w14:paraId="607781C7"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One honest note. We do not say "registered under our name." The registration holder is a local agent, and GANA R&amp;D is listed in the manufacturer field. The accurate phrase is "listed as </w:t>
      </w:r>
      <w:r>
        <w:rPr>
          <w:rFonts w:ascii="Calibri" w:hAnsi="Calibri" w:cs="Calibri"/>
          <w:color w:val="1A1A1A"/>
          <w:sz w:val="26"/>
          <w:szCs w:val="26"/>
        </w:rPr>
        <w:t>the manufacturer." For an axis built on manufacturing, the accurate version is the stronger one.</w:t>
      </w:r>
    </w:p>
    <w:p w14:paraId="63BA88AE"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What this does not cover: none of it proves the cell-and-gene layer, which has not yet obtained certification. That layer is described separately, in the ongoi</w:t>
      </w:r>
      <w:r>
        <w:rPr>
          <w:rFonts w:ascii="Calibri" w:hAnsi="Calibri" w:cs="Calibri"/>
          <w:color w:val="1A1A1A"/>
          <w:sz w:val="26"/>
          <w:szCs w:val="26"/>
        </w:rPr>
        <w:t>ng tense.</w:t>
      </w:r>
    </w:p>
    <w:p w14:paraId="061A6FCE" w14:textId="77777777" w:rsidR="00000000" w:rsidRDefault="00581219">
      <w:pPr>
        <w:pStyle w:val="3"/>
        <w:rPr>
          <w:rFonts w:ascii="Calibri" w:hAnsi="Calibri" w:cs="Calibri"/>
        </w:rPr>
      </w:pPr>
      <w:r>
        <w:rPr>
          <w:rFonts w:ascii="Calibri" w:hAnsi="Calibri" w:cs="Calibri"/>
        </w:rPr>
        <w:t>4. One Precondition</w:t>
      </w:r>
    </w:p>
    <w:p w14:paraId="3F3FD73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There is one figure to settle before republishing. Our own materials give several different capacity figures. These are not several claims but several points in time — each was accurate when written and never updated. Until it</w:t>
      </w:r>
      <w:r>
        <w:rPr>
          <w:rFonts w:ascii="Calibri" w:hAnsi="Calibri" w:cs="Calibri"/>
          <w:color w:val="1A1A1A"/>
          <w:sz w:val="26"/>
          <w:szCs w:val="26"/>
        </w:rPr>
        <w:t xml:space="preserve"> is settled, no capacity figure goes into new external materials. This is a freeze, not a separate task; the slogan, information architecture, and website work all proceed in parallel.</w:t>
      </w:r>
    </w:p>
    <w:p w14:paraId="0F30980D" w14:textId="77777777" w:rsidR="00000000" w:rsidRDefault="00581219">
      <w:pPr>
        <w:pStyle w:val="3"/>
        <w:rPr>
          <w:rFonts w:ascii="Calibri" w:hAnsi="Calibri" w:cs="Calibri"/>
        </w:rPr>
      </w:pPr>
      <w:r>
        <w:rPr>
          <w:rFonts w:ascii="Calibri" w:hAnsi="Calibri" w:cs="Calibri"/>
        </w:rPr>
        <w:t>5. The Axis Shift</w:t>
      </w:r>
    </w:p>
    <w:p w14:paraId="5645E53E"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Nothing is removed. The world-class facility, the six</w:t>
      </w:r>
      <w:r>
        <w:rPr>
          <w:rFonts w:ascii="Calibri" w:hAnsi="Calibri" w:cs="Calibri"/>
          <w:color w:val="1A1A1A"/>
          <w:sz w:val="26"/>
          <w:szCs w:val="26"/>
        </w:rPr>
        <w:t xml:space="preserve"> affiliates, and anti-aging all stay. What changes is how the claim is backed up: we attach a measurement standard and proof so that saying it plainly does not cause it to collapse.</w:t>
      </w:r>
    </w:p>
    <w:p w14:paraId="5278500B"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Anti-aging is not withdrawn; it is relocated. Internally it stays as a pur</w:t>
      </w:r>
      <w:r>
        <w:rPr>
          <w:rFonts w:ascii="Calibri" w:hAnsi="Calibri" w:cs="Calibri"/>
          <w:color w:val="1A1A1A"/>
          <w:sz w:val="26"/>
          <w:szCs w:val="26"/>
        </w:rPr>
        <w:t>pose, and in the cosmetics line its external use continues — there it is accurate, and it is the very word dealers use to close sales. What changes is the group-level headline sentence, which moves from a shared category claim to a manufacturing position.</w:t>
      </w:r>
    </w:p>
    <w:p w14:paraId="6CA38BA3"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Before and after, in one line: the external subject moves from </w:t>
      </w:r>
      <w:r>
        <w:rPr>
          <w:rFonts w:ascii="Calibri" w:hAnsi="Calibri" w:cs="Calibri"/>
          <w:b/>
          <w:bCs/>
          <w:color w:val="1A1A1A"/>
          <w:sz w:val="26"/>
          <w:szCs w:val="26"/>
        </w:rPr>
        <w:t>aging (an effect)</w:t>
      </w:r>
      <w:r>
        <w:rPr>
          <w:rFonts w:ascii="Calibri" w:hAnsi="Calibri" w:cs="Calibri"/>
          <w:color w:val="1A1A1A"/>
          <w:sz w:val="26"/>
          <w:szCs w:val="26"/>
        </w:rPr>
        <w:t xml:space="preserve"> to </w:t>
      </w:r>
      <w:r>
        <w:rPr>
          <w:rFonts w:ascii="Calibri" w:hAnsi="Calibri" w:cs="Calibri"/>
          <w:b/>
          <w:bCs/>
          <w:color w:val="1A1A1A"/>
          <w:sz w:val="26"/>
          <w:szCs w:val="26"/>
        </w:rPr>
        <w:t>the manufacturer (a fact)</w:t>
      </w:r>
      <w:r>
        <w:rPr>
          <w:rFonts w:ascii="Calibri" w:hAnsi="Calibri" w:cs="Calibri"/>
          <w:color w:val="1A1A1A"/>
          <w:sz w:val="26"/>
          <w:szCs w:val="26"/>
        </w:rPr>
        <w:t xml:space="preserve">; the buyer's next move from </w:t>
      </w:r>
      <w:r>
        <w:rPr>
          <w:rFonts w:ascii="Calibri" w:hAnsi="Calibri" w:cs="Calibri"/>
          <w:b/>
          <w:bCs/>
          <w:color w:val="1A1A1A"/>
          <w:sz w:val="26"/>
          <w:szCs w:val="26"/>
        </w:rPr>
        <w:t>"prove it"</w:t>
      </w:r>
      <w:r>
        <w:rPr>
          <w:rFonts w:ascii="Calibri" w:hAnsi="Calibri" w:cs="Calibri"/>
          <w:color w:val="1A1A1A"/>
          <w:sz w:val="26"/>
          <w:szCs w:val="26"/>
        </w:rPr>
        <w:t xml:space="preserve"> to </w:t>
      </w:r>
      <w:r>
        <w:rPr>
          <w:rFonts w:ascii="Calibri" w:hAnsi="Calibri" w:cs="Calibri"/>
          <w:b/>
          <w:bCs/>
          <w:color w:val="1A1A1A"/>
          <w:sz w:val="26"/>
          <w:szCs w:val="26"/>
        </w:rPr>
        <w:t>"look up the registration."</w:t>
      </w:r>
      <w:r>
        <w:rPr>
          <w:rFonts w:ascii="Calibri" w:hAnsi="Calibri" w:cs="Calibri"/>
          <w:color w:val="1A1A1A"/>
          <w:sz w:val="26"/>
          <w:szCs w:val="26"/>
        </w:rPr>
        <w:t xml:space="preserve"> The burden of proof stays on us — but now we can meet it.</w:t>
      </w:r>
    </w:p>
    <w:p w14:paraId="5930DDA8" w14:textId="77777777" w:rsidR="00000000" w:rsidRDefault="00581219">
      <w:pPr>
        <w:pStyle w:val="3"/>
        <w:rPr>
          <w:rFonts w:ascii="Calibri" w:hAnsi="Calibri" w:cs="Calibri"/>
        </w:rPr>
      </w:pPr>
      <w:r>
        <w:rPr>
          <w:rFonts w:ascii="Calibri" w:hAnsi="Calibri" w:cs="Calibri"/>
        </w:rPr>
        <w:t>6. How We Say It —</w:t>
      </w:r>
      <w:r>
        <w:rPr>
          <w:rFonts w:ascii="Calibri" w:hAnsi="Calibri" w:cs="Calibri"/>
        </w:rPr>
        <w:t xml:space="preserve"> Completed Tense and Ongoing Tense</w:t>
      </w:r>
    </w:p>
    <w:p w14:paraId="42B4502C"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The claim does not apply uniformly. Each layer is described only to the depth it can support.</w:t>
      </w:r>
    </w:p>
    <w:p w14:paraId="1A746F2B" w14:textId="77777777" w:rsidR="00000000" w:rsidRDefault="00581219">
      <w:pPr>
        <w:numPr>
          <w:ilvl w:val="0"/>
          <w:numId w:val="3"/>
        </w:numPr>
        <w:spacing w:before="100" w:after="100"/>
        <w:rPr>
          <w:rFonts w:ascii="Calibri" w:hAnsi="Calibri" w:cs="Calibri"/>
          <w:color w:val="1A1A1A"/>
          <w:sz w:val="26"/>
          <w:szCs w:val="26"/>
        </w:rPr>
      </w:pPr>
      <w:r>
        <w:rPr>
          <w:rFonts w:ascii="Calibri" w:hAnsi="Calibri" w:cs="Calibri"/>
          <w:b/>
          <w:bCs/>
          <w:color w:val="1A1A1A"/>
          <w:sz w:val="26"/>
          <w:szCs w:val="26"/>
        </w:rPr>
        <w:t>Surface (fillers, materials):</w:t>
      </w:r>
      <w:r>
        <w:rPr>
          <w:rFonts w:ascii="Calibri" w:hAnsi="Calibri" w:cs="Calibri"/>
          <w:color w:val="1A1A1A"/>
          <w:sz w:val="26"/>
          <w:szCs w:val="26"/>
        </w:rPr>
        <w:t xml:space="preserve"> "We made it." — backed by registrations across jurisdictions and a current GMP certificate.</w:t>
      </w:r>
    </w:p>
    <w:p w14:paraId="7FD98D86" w14:textId="77777777" w:rsidR="00000000" w:rsidRDefault="00581219">
      <w:pPr>
        <w:numPr>
          <w:ilvl w:val="0"/>
          <w:numId w:val="3"/>
        </w:numPr>
        <w:spacing w:before="100" w:after="100"/>
        <w:rPr>
          <w:rFonts w:ascii="Calibri" w:hAnsi="Calibri" w:cs="Calibri"/>
          <w:color w:val="1A1A1A"/>
          <w:sz w:val="26"/>
          <w:szCs w:val="26"/>
        </w:rPr>
      </w:pPr>
      <w:r>
        <w:rPr>
          <w:rFonts w:ascii="Calibri" w:hAnsi="Calibri" w:cs="Calibri"/>
          <w:b/>
          <w:bCs/>
          <w:color w:val="1A1A1A"/>
          <w:sz w:val="26"/>
          <w:szCs w:val="26"/>
        </w:rPr>
        <w:t>Tissu</w:t>
      </w:r>
      <w:r>
        <w:rPr>
          <w:rFonts w:ascii="Calibri" w:hAnsi="Calibri" w:cs="Calibri"/>
          <w:b/>
          <w:bCs/>
          <w:color w:val="1A1A1A"/>
          <w:sz w:val="26"/>
          <w:szCs w:val="26"/>
        </w:rPr>
        <w:t>e (wound care):</w:t>
      </w:r>
      <w:r>
        <w:rPr>
          <w:rFonts w:ascii="Calibri" w:hAnsi="Calibri" w:cs="Calibri"/>
          <w:color w:val="1A1A1A"/>
          <w:sz w:val="26"/>
          <w:szCs w:val="26"/>
        </w:rPr>
        <w:t xml:space="preserve"> "It is already registered." — backed by a registration on record.</w:t>
      </w:r>
    </w:p>
    <w:p w14:paraId="581743C4" w14:textId="77777777" w:rsidR="00000000" w:rsidRDefault="00581219">
      <w:pPr>
        <w:numPr>
          <w:ilvl w:val="0"/>
          <w:numId w:val="3"/>
        </w:numPr>
        <w:spacing w:before="100" w:after="100"/>
        <w:rPr>
          <w:rFonts w:ascii="Calibri" w:hAnsi="Calibri" w:cs="Calibri"/>
          <w:color w:val="1A1A1A"/>
          <w:sz w:val="26"/>
          <w:szCs w:val="26"/>
        </w:rPr>
      </w:pPr>
      <w:r>
        <w:rPr>
          <w:rFonts w:ascii="Calibri" w:hAnsi="Calibri" w:cs="Calibri"/>
          <w:b/>
          <w:bCs/>
          <w:color w:val="1A1A1A"/>
          <w:sz w:val="26"/>
          <w:szCs w:val="26"/>
        </w:rPr>
        <w:t>Cell and gene (AAV):</w:t>
      </w:r>
      <w:r>
        <w:rPr>
          <w:rFonts w:ascii="Calibri" w:hAnsi="Calibri" w:cs="Calibri"/>
          <w:color w:val="1A1A1A"/>
          <w:sz w:val="26"/>
          <w:szCs w:val="26"/>
        </w:rPr>
        <w:t xml:space="preserve"> </w:t>
      </w:r>
      <w:r>
        <w:rPr>
          <w:rFonts w:ascii="Calibri" w:hAnsi="Calibri" w:cs="Calibri"/>
          <w:color w:val="1A1A1A"/>
          <w:sz w:val="26"/>
          <w:szCs w:val="26"/>
        </w:rPr>
        <w:t>"We built it; certification is targeted for 2026." — the plant was completed in 2025, with equipment installed.</w:t>
      </w:r>
    </w:p>
    <w:p w14:paraId="0F8F9A3C"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lastRenderedPageBreak/>
        <w:t xml:space="preserve">We never write one sentence that ties the three layers under a single subject. Bundling them lets the unproven layer drag the proven layer into </w:t>
      </w:r>
      <w:r>
        <w:rPr>
          <w:rFonts w:ascii="Calibri" w:hAnsi="Calibri" w:cs="Calibri"/>
          <w:color w:val="1A1A1A"/>
          <w:sz w:val="26"/>
          <w:szCs w:val="26"/>
        </w:rPr>
        <w:t xml:space="preserve">doubt. Since the asset value sits on the registration side, that trade does not hold. </w:t>
      </w:r>
      <w:r>
        <w:rPr>
          <w:rFonts w:ascii="Calibri" w:hAnsi="Calibri" w:cs="Calibri"/>
          <w:b/>
          <w:bCs/>
          <w:color w:val="1A1A1A"/>
          <w:sz w:val="26"/>
          <w:szCs w:val="26"/>
        </w:rPr>
        <w:t>Honesty here is not a weakness; it is the defense.</w:t>
      </w:r>
    </w:p>
    <w:p w14:paraId="131CB615" w14:textId="77777777" w:rsidR="00000000" w:rsidRDefault="00581219">
      <w:pPr>
        <w:pStyle w:val="3"/>
        <w:rPr>
          <w:rFonts w:ascii="Calibri" w:hAnsi="Calibri" w:cs="Calibri"/>
        </w:rPr>
      </w:pPr>
      <w:r>
        <w:rPr>
          <w:rFonts w:ascii="Calibri" w:hAnsi="Calibri" w:cs="Calibri"/>
        </w:rPr>
        <w:t>7. What the Shift Achieves</w:t>
      </w:r>
    </w:p>
    <w:p w14:paraId="4F8205A4" w14:textId="77777777" w:rsidR="00000000" w:rsidRDefault="00581219">
      <w:pPr>
        <w:numPr>
          <w:ilvl w:val="0"/>
          <w:numId w:val="4"/>
        </w:numPr>
        <w:spacing w:before="100" w:after="100"/>
        <w:rPr>
          <w:rFonts w:ascii="Calibri" w:hAnsi="Calibri" w:cs="Calibri"/>
          <w:color w:val="1A1A1A"/>
          <w:sz w:val="26"/>
          <w:szCs w:val="26"/>
        </w:rPr>
      </w:pPr>
      <w:r>
        <w:rPr>
          <w:rFonts w:ascii="Calibri" w:hAnsi="Calibri" w:cs="Calibri"/>
          <w:b/>
          <w:bCs/>
          <w:color w:val="1A1A1A"/>
          <w:sz w:val="26"/>
          <w:szCs w:val="26"/>
        </w:rPr>
        <w:t>Immediately:</w:t>
      </w:r>
      <w:r>
        <w:rPr>
          <w:rFonts w:ascii="Calibri" w:hAnsi="Calibri" w:cs="Calibri"/>
          <w:color w:val="1A1A1A"/>
          <w:sz w:val="26"/>
          <w:szCs w:val="26"/>
        </w:rPr>
        <w:t xml:space="preserve"> every claim gains a lookup path. To a buyer who asks "is that true?", we hand o</w:t>
      </w:r>
      <w:r>
        <w:rPr>
          <w:rFonts w:ascii="Calibri" w:hAnsi="Calibri" w:cs="Calibri"/>
          <w:color w:val="1A1A1A"/>
          <w:sz w:val="26"/>
          <w:szCs w:val="26"/>
        </w:rPr>
        <w:t>ver a registration number, not an adjective.</w:t>
      </w:r>
    </w:p>
    <w:p w14:paraId="4A1F3F64" w14:textId="77777777" w:rsidR="00000000" w:rsidRDefault="00581219">
      <w:pPr>
        <w:numPr>
          <w:ilvl w:val="0"/>
          <w:numId w:val="4"/>
        </w:numPr>
        <w:spacing w:before="100" w:after="100"/>
        <w:rPr>
          <w:rFonts w:ascii="Calibri" w:hAnsi="Calibri" w:cs="Calibri"/>
          <w:color w:val="1A1A1A"/>
          <w:sz w:val="26"/>
          <w:szCs w:val="26"/>
        </w:rPr>
      </w:pPr>
      <w:r>
        <w:rPr>
          <w:rFonts w:ascii="Calibri" w:hAnsi="Calibri" w:cs="Calibri"/>
          <w:b/>
          <w:bCs/>
          <w:color w:val="1A1A1A"/>
          <w:sz w:val="26"/>
          <w:szCs w:val="26"/>
        </w:rPr>
        <w:t>Within the sales cycle:</w:t>
      </w:r>
      <w:r>
        <w:rPr>
          <w:rFonts w:ascii="Calibri" w:hAnsi="Calibri" w:cs="Calibri"/>
          <w:color w:val="1A1A1A"/>
          <w:sz w:val="26"/>
          <w:szCs w:val="26"/>
        </w:rPr>
        <w:t xml:space="preserve"> </w:t>
      </w:r>
      <w:r>
        <w:rPr>
          <w:rFonts w:ascii="Calibri" w:hAnsi="Calibri" w:cs="Calibri"/>
          <w:color w:val="1A1A1A"/>
          <w:sz w:val="26"/>
          <w:szCs w:val="26"/>
        </w:rPr>
        <w:t>the conversation shifts from persuasion to confirmation — and confirmation favors the party holding the documents.</w:t>
      </w:r>
    </w:p>
    <w:p w14:paraId="2BCFBEDD" w14:textId="77777777" w:rsidR="00000000" w:rsidRDefault="00581219">
      <w:pPr>
        <w:numPr>
          <w:ilvl w:val="0"/>
          <w:numId w:val="4"/>
        </w:numPr>
        <w:spacing w:before="100" w:after="100"/>
        <w:rPr>
          <w:rFonts w:ascii="Calibri" w:hAnsi="Calibri" w:cs="Calibri"/>
          <w:color w:val="1A1A1A"/>
          <w:sz w:val="26"/>
          <w:szCs w:val="26"/>
        </w:rPr>
      </w:pPr>
      <w:r>
        <w:rPr>
          <w:rFonts w:ascii="Calibri" w:hAnsi="Calibri" w:cs="Calibri"/>
          <w:b/>
          <w:bCs/>
          <w:color w:val="1A1A1A"/>
          <w:sz w:val="26"/>
          <w:szCs w:val="26"/>
        </w:rPr>
        <w:t>Structurally:</w:t>
      </w:r>
      <w:r>
        <w:rPr>
          <w:rFonts w:ascii="Calibri" w:hAnsi="Calibri" w:cs="Calibri"/>
          <w:color w:val="1A1A1A"/>
          <w:sz w:val="26"/>
          <w:szCs w:val="26"/>
        </w:rPr>
        <w:t xml:space="preserve"> because publishing the registrations </w:t>
      </w:r>
      <w:r>
        <w:rPr>
          <w:rFonts w:ascii="Calibri" w:hAnsi="Calibri" w:cs="Calibri"/>
          <w:i/>
          <w:iCs/>
          <w:color w:val="5B6B7B"/>
          <w:sz w:val="26"/>
          <w:szCs w:val="26"/>
        </w:rPr>
        <w:t>is</w:t>
      </w:r>
      <w:r>
        <w:rPr>
          <w:rFonts w:ascii="Calibri" w:hAnsi="Calibri" w:cs="Calibri"/>
          <w:color w:val="1A1A1A"/>
          <w:sz w:val="26"/>
          <w:szCs w:val="26"/>
        </w:rPr>
        <w:t xml:space="preserve"> the execution of the axis, there is no path that merely tidies up without positioning.</w:t>
      </w:r>
    </w:p>
    <w:p w14:paraId="5BD9EE76" w14:textId="77777777" w:rsidR="00000000" w:rsidRDefault="00581219">
      <w:pPr>
        <w:numPr>
          <w:ilvl w:val="0"/>
          <w:numId w:val="4"/>
        </w:numPr>
        <w:spacing w:before="100" w:after="100"/>
        <w:rPr>
          <w:rFonts w:ascii="Calibri" w:hAnsi="Calibri" w:cs="Calibri"/>
          <w:color w:val="1A1A1A"/>
          <w:sz w:val="26"/>
          <w:szCs w:val="26"/>
        </w:rPr>
      </w:pPr>
      <w:r>
        <w:rPr>
          <w:rFonts w:ascii="Calibri" w:hAnsi="Calibri" w:cs="Calibri"/>
          <w:b/>
          <w:bCs/>
          <w:color w:val="1A1A1A"/>
          <w:sz w:val="26"/>
          <w:szCs w:val="26"/>
        </w:rPr>
        <w:t>And a side effect:</w:t>
      </w:r>
      <w:r>
        <w:rPr>
          <w:rFonts w:ascii="Calibri" w:hAnsi="Calibri" w:cs="Calibri"/>
          <w:color w:val="1A1A1A"/>
          <w:sz w:val="26"/>
          <w:szCs w:val="26"/>
        </w:rPr>
        <w:t xml:space="preserve"> depth is not a ranking, so no division is made to look inferior.</w:t>
      </w:r>
    </w:p>
    <w:p w14:paraId="529E1E53" w14:textId="77777777" w:rsidR="00000000" w:rsidRDefault="00581219">
      <w:pPr>
        <w:pStyle w:val="3"/>
        <w:rPr>
          <w:rFonts w:ascii="Calibri" w:hAnsi="Calibri" w:cs="Calibri"/>
        </w:rPr>
      </w:pPr>
      <w:r>
        <w:rPr>
          <w:rFonts w:ascii="Calibri" w:hAnsi="Calibri" w:cs="Calibri"/>
        </w:rPr>
        <w:t>8. Brand Architecture — Why Depth</w:t>
      </w:r>
    </w:p>
    <w:p w14:paraId="16FE40D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We change the basis for introducing affiliates from "level of intervention in aging" to </w:t>
      </w:r>
      <w:r>
        <w:rPr>
          <w:rFonts w:ascii="Calibri" w:hAnsi="Calibri" w:cs="Calibri"/>
          <w:b/>
          <w:bCs/>
          <w:color w:val="1A1A1A"/>
          <w:sz w:val="26"/>
          <w:szCs w:val="26"/>
        </w:rPr>
        <w:t>manufacturing depth</w:t>
      </w:r>
      <w:r>
        <w:rPr>
          <w:rFonts w:ascii="Calibri" w:hAnsi="Calibri" w:cs="Calibri"/>
          <w:color w:val="1A1A1A"/>
          <w:sz w:val="26"/>
          <w:szCs w:val="26"/>
        </w:rPr>
        <w:t>. The lineup and the order of i</w:t>
      </w:r>
      <w:r>
        <w:rPr>
          <w:rFonts w:ascii="Calibri" w:hAnsi="Calibri" w:cs="Calibri"/>
          <w:color w:val="1A1A1A"/>
          <w:sz w:val="26"/>
          <w:szCs w:val="26"/>
        </w:rPr>
        <w:t>mportance stay the same; only the descriptive basis changes.</w:t>
      </w:r>
    </w:p>
    <w:p w14:paraId="330AB7D9"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Why depth, and not something else? Several axes could organize the affiliates — benefit, product category, customer — but only manufacturing depth describes the group through a manufacturing attr</w:t>
      </w:r>
      <w:r>
        <w:rPr>
          <w:rFonts w:ascii="Calibri" w:hAnsi="Calibri" w:cs="Calibri"/>
          <w:color w:val="1A1A1A"/>
          <w:sz w:val="26"/>
          <w:szCs w:val="26"/>
        </w:rPr>
        <w:t>ibute that can be proven. This is consistent with the whole premise: from unprovable benefit to provable manufacturing.</w:t>
      </w:r>
    </w:p>
    <w:p w14:paraId="3D3BD2B4" w14:textId="77777777" w:rsidR="00000000" w:rsidRDefault="00581219">
      <w:pPr>
        <w:numPr>
          <w:ilvl w:val="0"/>
          <w:numId w:val="5"/>
        </w:numPr>
        <w:spacing w:before="100" w:after="100"/>
        <w:rPr>
          <w:rFonts w:ascii="Calibri" w:hAnsi="Calibri" w:cs="Calibri"/>
          <w:color w:val="1A1A1A"/>
          <w:sz w:val="26"/>
          <w:szCs w:val="26"/>
        </w:rPr>
      </w:pPr>
      <w:r>
        <w:rPr>
          <w:rFonts w:ascii="Calibri" w:hAnsi="Calibri" w:cs="Calibri"/>
          <w:b/>
          <w:bCs/>
          <w:color w:val="1A1A1A"/>
          <w:sz w:val="26"/>
          <w:szCs w:val="26"/>
        </w:rPr>
        <w:t>First, it is true of every affiliate.</w:t>
      </w:r>
      <w:r>
        <w:rPr>
          <w:rFonts w:ascii="Calibri" w:hAnsi="Calibri" w:cs="Calibri"/>
          <w:color w:val="1A1A1A"/>
          <w:sz w:val="26"/>
          <w:szCs w:val="26"/>
        </w:rPr>
        <w:t xml:space="preserve"> Each one manufactures something, so — unlike the benefit axis — we need not force the cell-and-gen</w:t>
      </w:r>
      <w:r>
        <w:rPr>
          <w:rFonts w:ascii="Calibri" w:hAnsi="Calibri" w:cs="Calibri"/>
          <w:color w:val="1A1A1A"/>
          <w:sz w:val="26"/>
          <w:szCs w:val="26"/>
        </w:rPr>
        <w:t>e facility under "anti-aging."</w:t>
      </w:r>
    </w:p>
    <w:p w14:paraId="3B0F192F" w14:textId="77777777" w:rsidR="00000000" w:rsidRDefault="00581219">
      <w:pPr>
        <w:numPr>
          <w:ilvl w:val="0"/>
          <w:numId w:val="5"/>
        </w:numPr>
        <w:spacing w:before="100" w:after="100"/>
        <w:rPr>
          <w:rFonts w:ascii="Calibri" w:hAnsi="Calibri" w:cs="Calibri"/>
          <w:color w:val="1A1A1A"/>
          <w:sz w:val="26"/>
          <w:szCs w:val="26"/>
        </w:rPr>
      </w:pPr>
      <w:r>
        <w:rPr>
          <w:rFonts w:ascii="Calibri" w:hAnsi="Calibri" w:cs="Calibri"/>
          <w:b/>
          <w:bCs/>
          <w:color w:val="1A1A1A"/>
          <w:sz w:val="26"/>
          <w:szCs w:val="26"/>
        </w:rPr>
        <w:t>Second, each layer maps to proof.</w:t>
      </w:r>
      <w:r>
        <w:rPr>
          <w:rFonts w:ascii="Calibri" w:hAnsi="Calibri" w:cs="Calibri"/>
          <w:color w:val="1A1A1A"/>
          <w:sz w:val="26"/>
          <w:szCs w:val="26"/>
        </w:rPr>
        <w:t xml:space="preserve"> Surface to registration numbers, tissue to a registration, cell to a completed build. The architecture itself points to a document, not an adjective, and holds up in due diligence.</w:t>
      </w:r>
    </w:p>
    <w:p w14:paraId="4D45F917" w14:textId="77777777" w:rsidR="00000000" w:rsidRDefault="00581219">
      <w:pPr>
        <w:numPr>
          <w:ilvl w:val="0"/>
          <w:numId w:val="5"/>
        </w:numPr>
        <w:spacing w:before="100" w:after="100"/>
        <w:rPr>
          <w:rFonts w:ascii="Calibri" w:hAnsi="Calibri" w:cs="Calibri"/>
          <w:color w:val="1A1A1A"/>
          <w:sz w:val="26"/>
          <w:szCs w:val="26"/>
        </w:rPr>
      </w:pPr>
      <w:r>
        <w:rPr>
          <w:rFonts w:ascii="Calibri" w:hAnsi="Calibri" w:cs="Calibri"/>
          <w:b/>
          <w:bCs/>
          <w:color w:val="1A1A1A"/>
          <w:sz w:val="26"/>
          <w:szCs w:val="26"/>
        </w:rPr>
        <w:t>Third, dep</w:t>
      </w:r>
      <w:r>
        <w:rPr>
          <w:rFonts w:ascii="Calibri" w:hAnsi="Calibri" w:cs="Calibri"/>
          <w:b/>
          <w:bCs/>
          <w:color w:val="1A1A1A"/>
          <w:sz w:val="26"/>
          <w:szCs w:val="26"/>
        </w:rPr>
        <w:t>th is a difficulty ladder, and therefore a moat.</w:t>
      </w:r>
      <w:r>
        <w:rPr>
          <w:rFonts w:ascii="Calibri" w:hAnsi="Calibri" w:cs="Calibri"/>
          <w:color w:val="1A1A1A"/>
          <w:sz w:val="26"/>
          <w:szCs w:val="26"/>
        </w:rPr>
        <w:t xml:space="preserve"> The deeper the layer, the harder and more capital-intensive it is to make — and a company that outsources production cannot place itself anywhere on this axis.</w:t>
      </w:r>
    </w:p>
    <w:p w14:paraId="1071B91B"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By contrast, organizing by product category tur</w:t>
      </w:r>
      <w:r>
        <w:rPr>
          <w:rFonts w:ascii="Calibri" w:hAnsi="Calibri" w:cs="Calibri"/>
          <w:color w:val="1A1A1A"/>
          <w:sz w:val="26"/>
          <w:szCs w:val="26"/>
        </w:rPr>
        <w:t>ns the group into a buffet with no connecting logic; organizing by customer or market splits it in two and lets the consumer side dilute the manufacturing credibility. Only depth keeps the group a single manufacturer while staying tied to evidence.</w:t>
      </w:r>
    </w:p>
    <w:p w14:paraId="75D6FACD"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lastRenderedPageBreak/>
        <w:t>The str</w:t>
      </w:r>
      <w:r>
        <w:rPr>
          <w:rFonts w:ascii="Calibri" w:hAnsi="Calibri" w:cs="Calibri"/>
          <w:color w:val="1A1A1A"/>
          <w:sz w:val="26"/>
          <w:szCs w:val="26"/>
        </w:rPr>
        <w:t>ucture is three layers — surface, tissue, cell-and-gene — read as depth of the manufacturing target, not a top-to-bottom ranking. Layer three is not above layer one; the target is simply different.</w:t>
      </w:r>
    </w:p>
    <w:p w14:paraId="53607AF0" w14:textId="77777777" w:rsidR="00000000" w:rsidRDefault="00581219">
      <w:pPr>
        <w:pStyle w:val="3"/>
        <w:rPr>
          <w:rFonts w:ascii="Calibri" w:hAnsi="Calibri" w:cs="Calibri"/>
        </w:rPr>
      </w:pPr>
      <w:r>
        <w:rPr>
          <w:rFonts w:ascii="Calibri" w:hAnsi="Calibri" w:cs="Calibri"/>
        </w:rPr>
        <w:t>9. Language and Scale</w:t>
      </w:r>
    </w:p>
    <w:p w14:paraId="37593BC1"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 slogan copy is </w:t>
      </w:r>
      <w:r>
        <w:rPr>
          <w:rFonts w:ascii="Calibri" w:hAnsi="Calibri" w:cs="Calibri"/>
          <w:b/>
          <w:bCs/>
          <w:color w:val="1A1A1A"/>
          <w:sz w:val="26"/>
          <w:szCs w:val="26"/>
        </w:rPr>
        <w:t>not</w:t>
      </w:r>
      <w:r>
        <w:rPr>
          <w:rFonts w:ascii="Calibri" w:hAnsi="Calibri" w:cs="Calibri"/>
          <w:color w:val="1A1A1A"/>
          <w:sz w:val="26"/>
          <w:szCs w:val="26"/>
        </w:rPr>
        <w:t xml:space="preserve"> finalized her</w:t>
      </w:r>
      <w:r>
        <w:rPr>
          <w:rFonts w:ascii="Calibri" w:hAnsi="Calibri" w:cs="Calibri"/>
          <w:color w:val="1A1A1A"/>
          <w:sz w:val="26"/>
          <w:szCs w:val="26"/>
        </w:rPr>
        <w:t>e — it is written after the axis is approved, so that an axis change does not force a full rewrite. This edition sets only the conditions the copy must meet: the predicate carries the sentence; the two ends are never joined under one subject; the group and</w:t>
      </w:r>
      <w:r>
        <w:rPr>
          <w:rFonts w:ascii="Calibri" w:hAnsi="Calibri" w:cs="Calibri"/>
          <w:color w:val="1A1A1A"/>
          <w:sz w:val="26"/>
          <w:szCs w:val="26"/>
        </w:rPr>
        <w:t xml:space="preserve"> the cosmetics division use separate copy; a single entity is the subject until ownership is confirmed; and the English version is the master, not a translation of the Korean.</w:t>
      </w:r>
    </w:p>
    <w:p w14:paraId="75562A89"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On scale: "world's largest class" is retained. We do not delete it — we attach a</w:t>
      </w:r>
      <w:r>
        <w:rPr>
          <w:rFonts w:ascii="Calibri" w:hAnsi="Calibri" w:cs="Calibri"/>
          <w:color w:val="1A1A1A"/>
          <w:sz w:val="26"/>
          <w:szCs w:val="26"/>
        </w:rPr>
        <w:t xml:space="preserve"> measurement axis so it cannot be nitpicked. The issue is never the superlative itself but the missing measurement axis, or figures that conflict with our own. So we keep the qualified "one of the world's largest…" form our own video already uses, state th</w:t>
      </w:r>
      <w:r>
        <w:rPr>
          <w:rFonts w:ascii="Calibri" w:hAnsi="Calibri" w:cs="Calibri"/>
          <w:color w:val="1A1A1A"/>
          <w:sz w:val="26"/>
          <w:szCs w:val="26"/>
        </w:rPr>
        <w:t xml:space="preserve">e measurement axis and the tense, and freeze the contested capacity figure until it is confirmed. Stating the tense is mandatory: presenting a planned capacity as a current fact loses trust with a single site visit. And scale is never presented alone, but </w:t>
      </w:r>
      <w:r>
        <w:rPr>
          <w:rFonts w:ascii="Calibri" w:hAnsi="Calibri" w:cs="Calibri"/>
          <w:color w:val="1A1A1A"/>
          <w:sz w:val="26"/>
          <w:szCs w:val="26"/>
        </w:rPr>
        <w:t>with its purpose — larger batch scale lowers the cost per dose, so scale functions as evidence, not a headline.</w:t>
      </w:r>
    </w:p>
    <w:p w14:paraId="05AAB84B" w14:textId="77777777" w:rsidR="00000000" w:rsidRDefault="00581219">
      <w:pPr>
        <w:spacing w:before="280" w:after="280"/>
        <w:rPr>
          <w:rFonts w:ascii="Calibri" w:hAnsi="Calibri" w:cs="Calibri"/>
          <w:color w:val="1A1A1A"/>
          <w:sz w:val="26"/>
          <w:szCs w:val="26"/>
        </w:rPr>
      </w:pPr>
      <w:r>
        <w:rPr>
          <w:rFonts w:ascii="Calibri" w:hAnsi="Calibri" w:cs="Calibri"/>
          <w:color w:val="1A1A1A"/>
          <w:sz w:val="26"/>
          <w:szCs w:val="26"/>
        </w:rPr>
        <w:pict w14:anchorId="0F39C704">
          <v:rect id="_x0000_i1027" style="width:0;height:1.5pt" o:hralign="center" o:hrstd="t" o:hr="t" fillcolor="#a0a0a0" stroked="f"/>
        </w:pict>
      </w:r>
    </w:p>
    <w:p w14:paraId="016CC5BB" w14:textId="77777777" w:rsidR="00000000" w:rsidRDefault="00581219">
      <w:pPr>
        <w:pStyle w:val="2"/>
        <w:rPr>
          <w:rFonts w:ascii="Calibri" w:hAnsi="Calibri" w:cs="Calibri"/>
        </w:rPr>
      </w:pPr>
      <w:r>
        <w:rPr>
          <w:rFonts w:ascii="Calibri" w:hAnsi="Calibri" w:cs="Calibri"/>
        </w:rPr>
        <w:t>Part 2 · Realization on the Web</w:t>
      </w:r>
    </w:p>
    <w:p w14:paraId="44EA380D" w14:textId="77777777" w:rsidR="00000000" w:rsidRDefault="00581219">
      <w:pPr>
        <w:pStyle w:val="3"/>
        <w:rPr>
          <w:rFonts w:ascii="Calibri" w:hAnsi="Calibri" w:cs="Calibri"/>
        </w:rPr>
      </w:pPr>
      <w:r>
        <w:rPr>
          <w:rFonts w:ascii="Calibri" w:hAnsi="Calibri" w:cs="Calibri"/>
        </w:rPr>
        <w:t>10. The Role of the Website</w:t>
      </w:r>
    </w:p>
    <w:p w14:paraId="68752F80"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Part 1 defined the direction. Part 2 is how that</w:t>
      </w:r>
      <w:r>
        <w:rPr>
          <w:rFonts w:ascii="Calibri" w:hAnsi="Calibri" w:cs="Calibri"/>
          <w:color w:val="1A1A1A"/>
          <w:sz w:val="26"/>
          <w:szCs w:val="26"/>
        </w:rPr>
        <w:t xml:space="preserve"> direction becomes real on the website — which is also the work I was originally brought in to do.</w:t>
      </w:r>
    </w:p>
    <w:p w14:paraId="72AC3290"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 premise: </w:t>
      </w:r>
      <w:r>
        <w:rPr>
          <w:rFonts w:ascii="Calibri" w:hAnsi="Calibri" w:cs="Calibri"/>
          <w:b/>
          <w:bCs/>
          <w:color w:val="1A1A1A"/>
          <w:sz w:val="26"/>
          <w:szCs w:val="26"/>
        </w:rPr>
        <w:t>stop explaining ourselves, and hand over the numbers.</w:t>
      </w:r>
      <w:r>
        <w:rPr>
          <w:rFonts w:ascii="Calibri" w:hAnsi="Calibri" w:cs="Calibri"/>
          <w:color w:val="1A1A1A"/>
          <w:sz w:val="26"/>
          <w:szCs w:val="26"/>
        </w:rPr>
        <w:t xml:space="preserve"> A sentence is a claim; the website is where the numbers are actually handed over. When a b</w:t>
      </w:r>
      <w:r>
        <w:rPr>
          <w:rFonts w:ascii="Calibri" w:hAnsi="Calibri" w:cs="Calibri"/>
          <w:color w:val="1A1A1A"/>
          <w:sz w:val="26"/>
          <w:szCs w:val="26"/>
        </w:rPr>
        <w:t>uyer asks "is that true?", the site is where they come to check. So the web rebuild is not a side branch of this plan — it is the point where the axis turns into fact.</w:t>
      </w:r>
    </w:p>
    <w:p w14:paraId="531CC22F" w14:textId="77777777" w:rsidR="00000000" w:rsidRDefault="00581219">
      <w:pPr>
        <w:pStyle w:val="a3"/>
        <w:rPr>
          <w:rFonts w:ascii="Calibri" w:hAnsi="Calibri" w:cs="Calibri"/>
          <w:color w:val="1A1A1A"/>
          <w:sz w:val="26"/>
          <w:szCs w:val="26"/>
        </w:rPr>
      </w:pPr>
      <w:r>
        <w:rPr>
          <w:rFonts w:ascii="Calibri" w:hAnsi="Calibri" w:cs="Calibri"/>
          <w:b/>
          <w:bCs/>
          <w:color w:val="1A1A1A"/>
          <w:sz w:val="26"/>
          <w:szCs w:val="26"/>
        </w:rPr>
        <w:t>Where the evidence lives.</w:t>
      </w:r>
      <w:r>
        <w:rPr>
          <w:rFonts w:ascii="Calibri" w:hAnsi="Calibri" w:cs="Calibri"/>
          <w:color w:val="1A1A1A"/>
          <w:sz w:val="26"/>
          <w:szCs w:val="26"/>
        </w:rPr>
        <w:t xml:space="preserve"> Today: 38 registrations, zero posted on the site; a nonexisten</w:t>
      </w:r>
      <w:r>
        <w:rPr>
          <w:rFonts w:ascii="Calibri" w:hAnsi="Calibri" w:cs="Calibri"/>
          <w:color w:val="1A1A1A"/>
          <w:sz w:val="26"/>
          <w:szCs w:val="26"/>
        </w:rPr>
        <w:t>t-agency claim in their place; expired certificate badges still up. What it should be: a registration number and lookup link on every product; the real numbers in place of the false claim; expired badges down and the current certificate up. This is the sin</w:t>
      </w:r>
      <w:r>
        <w:rPr>
          <w:rFonts w:ascii="Calibri" w:hAnsi="Calibri" w:cs="Calibri"/>
          <w:color w:val="1A1A1A"/>
          <w:sz w:val="26"/>
          <w:szCs w:val="26"/>
        </w:rPr>
        <w:t xml:space="preserve">gle highest-return item in the whole plan — pure web work, zero cost — and it turns the axis from words into fact. It becomes a new </w:t>
      </w:r>
      <w:r>
        <w:rPr>
          <w:rFonts w:ascii="Calibri" w:hAnsi="Calibri" w:cs="Calibri"/>
          <w:b/>
          <w:bCs/>
          <w:color w:val="1A1A1A"/>
          <w:sz w:val="26"/>
          <w:szCs w:val="26"/>
        </w:rPr>
        <w:t>Certification and Registration Library</w:t>
      </w:r>
      <w:r>
        <w:rPr>
          <w:rFonts w:ascii="Calibri" w:hAnsi="Calibri" w:cs="Calibri"/>
          <w:color w:val="1A1A1A"/>
          <w:sz w:val="26"/>
          <w:szCs w:val="26"/>
        </w:rPr>
        <w:t xml:space="preserve">: one page gathering every jurisdiction's numbers and lookup links, the first page an </w:t>
      </w:r>
      <w:r>
        <w:rPr>
          <w:rFonts w:ascii="Calibri" w:hAnsi="Calibri" w:cs="Calibri"/>
          <w:color w:val="1A1A1A"/>
          <w:sz w:val="26"/>
          <w:szCs w:val="26"/>
        </w:rPr>
        <w:t>auditor or buyer opens.</w:t>
      </w:r>
    </w:p>
    <w:p w14:paraId="1152794B" w14:textId="77777777" w:rsidR="00000000" w:rsidRDefault="00581219">
      <w:pPr>
        <w:pStyle w:val="a3"/>
        <w:rPr>
          <w:rFonts w:ascii="Calibri" w:hAnsi="Calibri" w:cs="Calibri"/>
          <w:color w:val="1A1A1A"/>
          <w:sz w:val="26"/>
          <w:szCs w:val="26"/>
        </w:rPr>
      </w:pPr>
      <w:r>
        <w:rPr>
          <w:rFonts w:ascii="Calibri" w:hAnsi="Calibri" w:cs="Calibri"/>
          <w:b/>
          <w:bCs/>
          <w:color w:val="1A1A1A"/>
          <w:sz w:val="26"/>
          <w:szCs w:val="26"/>
        </w:rPr>
        <w:t>Bringing demand generation in-house.</w:t>
      </w:r>
      <w:r>
        <w:rPr>
          <w:rFonts w:ascii="Calibri" w:hAnsi="Calibri" w:cs="Calibri"/>
          <w:color w:val="1A1A1A"/>
          <w:sz w:val="26"/>
          <w:szCs w:val="26"/>
        </w:rPr>
        <w:t xml:space="preserve"> Search discovery and registration confirmation are two stages in series. When the discovery stage is handed to distributors, traffic leaks away before it reaches confirmation. We return the point</w:t>
      </w:r>
      <w:r>
        <w:rPr>
          <w:rFonts w:ascii="Calibri" w:hAnsi="Calibri" w:cs="Calibri"/>
          <w:color w:val="1A1A1A"/>
          <w:sz w:val="26"/>
          <w:szCs w:val="26"/>
        </w:rPr>
        <w:t xml:space="preserve"> of discovery to our own channels — proper SSL, a domain email, a single consistent English name, clean search indexing, and a responsive site — and then the registration links, carrying the search authority of the regulators' own domains, push distributor</w:t>
      </w:r>
      <w:r>
        <w:rPr>
          <w:rFonts w:ascii="Calibri" w:hAnsi="Calibri" w:cs="Calibri"/>
          <w:color w:val="1A1A1A"/>
          <w:sz w:val="26"/>
          <w:szCs w:val="26"/>
        </w:rPr>
        <w:t xml:space="preserve"> pages down the rankings. The web is precisely how we carry out "bringing demand generation in-house."</w:t>
      </w:r>
    </w:p>
    <w:p w14:paraId="2403DB29" w14:textId="77777777" w:rsidR="00000000" w:rsidRDefault="00581219">
      <w:pPr>
        <w:pStyle w:val="a3"/>
        <w:rPr>
          <w:rFonts w:ascii="Calibri" w:hAnsi="Calibri" w:cs="Calibri"/>
          <w:color w:val="1A1A1A"/>
          <w:sz w:val="26"/>
          <w:szCs w:val="26"/>
        </w:rPr>
      </w:pPr>
      <w:r>
        <w:rPr>
          <w:rFonts w:ascii="Calibri" w:hAnsi="Calibri" w:cs="Calibri"/>
          <w:b/>
          <w:bCs/>
          <w:color w:val="1A1A1A"/>
          <w:sz w:val="26"/>
          <w:szCs w:val="26"/>
        </w:rPr>
        <w:t>Depth is the information architecture.</w:t>
      </w:r>
      <w:r>
        <w:rPr>
          <w:rFonts w:ascii="Calibri" w:hAnsi="Calibri" w:cs="Calibri"/>
          <w:color w:val="1A1A1A"/>
          <w:sz w:val="26"/>
          <w:szCs w:val="26"/>
        </w:rPr>
        <w:t xml:space="preserve"> "Surface → tissue → cell" is not a slide argument; it is the site's structure itself. Six companies listed flat lo</w:t>
      </w:r>
      <w:r>
        <w:rPr>
          <w:rFonts w:ascii="Calibri" w:hAnsi="Calibri" w:cs="Calibri"/>
          <w:color w:val="1A1A1A"/>
          <w:sz w:val="26"/>
          <w:szCs w:val="26"/>
        </w:rPr>
        <w:t>ok like a buffet. Put them on depth and they become one flow — the companies that make things in front, the companies that deploy them behind. And the design original is already ours: among our sites, the cosmetics site is the one that works — a design sys</w:t>
      </w:r>
      <w:r>
        <w:rPr>
          <w:rFonts w:ascii="Calibri" w:hAnsi="Calibri" w:cs="Calibri"/>
          <w:color w:val="1A1A1A"/>
          <w:sz w:val="26"/>
          <w:szCs w:val="26"/>
        </w:rPr>
        <w:t>tem, a B2B inquiry structure, four languages. We raise it to the group standard and rebuild the parent site on top of it.</w:t>
      </w:r>
    </w:p>
    <w:p w14:paraId="42FB6E1D" w14:textId="77777777" w:rsidR="00000000" w:rsidRDefault="00581219">
      <w:pPr>
        <w:pStyle w:val="3"/>
        <w:rPr>
          <w:rFonts w:ascii="Calibri" w:hAnsi="Calibri" w:cs="Calibri"/>
        </w:rPr>
      </w:pPr>
      <w:r>
        <w:rPr>
          <w:rFonts w:ascii="Calibri" w:hAnsi="Calibri" w:cs="Calibri"/>
        </w:rPr>
        <w:t>11. Rollout</w:t>
      </w:r>
    </w:p>
    <w:p w14:paraId="42BC2D8B"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 principle is </w:t>
      </w:r>
      <w:r>
        <w:rPr>
          <w:rFonts w:ascii="Calibri" w:hAnsi="Calibri" w:cs="Calibri"/>
          <w:b/>
          <w:bCs/>
          <w:color w:val="1A1A1A"/>
          <w:sz w:val="26"/>
          <w:szCs w:val="26"/>
        </w:rPr>
        <w:t>fix first, then promote.</w:t>
      </w:r>
      <w:r>
        <w:rPr>
          <w:rFonts w:ascii="Calibri" w:hAnsi="Calibri" w:cs="Calibri"/>
          <w:color w:val="1A1A1A"/>
          <w:sz w:val="26"/>
          <w:szCs w:val="26"/>
        </w:rPr>
        <w:t xml:space="preserve"> Increasing exposure before the cleanup is finished backfires.</w:t>
      </w:r>
    </w:p>
    <w:p w14:paraId="482C13A0" w14:textId="77777777" w:rsidR="00000000" w:rsidRDefault="00581219">
      <w:pPr>
        <w:numPr>
          <w:ilvl w:val="0"/>
          <w:numId w:val="6"/>
        </w:numPr>
        <w:spacing w:before="100" w:after="100"/>
        <w:rPr>
          <w:rFonts w:ascii="Calibri" w:hAnsi="Calibri" w:cs="Calibri"/>
          <w:color w:val="1A1A1A"/>
          <w:sz w:val="26"/>
          <w:szCs w:val="26"/>
        </w:rPr>
      </w:pPr>
      <w:r>
        <w:rPr>
          <w:rFonts w:ascii="Calibri" w:hAnsi="Calibri" w:cs="Calibri"/>
          <w:b/>
          <w:bCs/>
          <w:color w:val="1A1A1A"/>
          <w:sz w:val="26"/>
          <w:szCs w:val="26"/>
        </w:rPr>
        <w:t>P0 (1 week):</w:t>
      </w:r>
      <w:r>
        <w:rPr>
          <w:rFonts w:ascii="Calibri" w:hAnsi="Calibri" w:cs="Calibri"/>
          <w:color w:val="1A1A1A"/>
          <w:sz w:val="26"/>
          <w:szCs w:val="26"/>
        </w:rPr>
        <w:t xml:space="preserve"> immed</w:t>
      </w:r>
      <w:r>
        <w:rPr>
          <w:rFonts w:ascii="Calibri" w:hAnsi="Calibri" w:cs="Calibri"/>
          <w:color w:val="1A1A1A"/>
          <w:sz w:val="26"/>
          <w:szCs w:val="26"/>
        </w:rPr>
        <w:t>iate web cleanup — security, domain email, expired badges down, false claim replaced with registration numbers, current certificate posted.</w:t>
      </w:r>
    </w:p>
    <w:p w14:paraId="5DF9AAB4" w14:textId="77777777" w:rsidR="00000000" w:rsidRDefault="00581219">
      <w:pPr>
        <w:numPr>
          <w:ilvl w:val="0"/>
          <w:numId w:val="6"/>
        </w:numPr>
        <w:spacing w:before="100" w:after="100"/>
        <w:rPr>
          <w:rFonts w:ascii="Calibri" w:hAnsi="Calibri" w:cs="Calibri"/>
          <w:color w:val="1A1A1A"/>
          <w:sz w:val="26"/>
          <w:szCs w:val="26"/>
        </w:rPr>
      </w:pPr>
      <w:r>
        <w:rPr>
          <w:rFonts w:ascii="Calibri" w:hAnsi="Calibri" w:cs="Calibri"/>
          <w:b/>
          <w:bCs/>
          <w:color w:val="1A1A1A"/>
          <w:sz w:val="26"/>
          <w:szCs w:val="26"/>
        </w:rPr>
        <w:t>P1 (2–4 weeks):</w:t>
      </w:r>
      <w:r>
        <w:rPr>
          <w:rFonts w:ascii="Calibri" w:hAnsi="Calibri" w:cs="Calibri"/>
          <w:color w:val="1A1A1A"/>
          <w:sz w:val="26"/>
          <w:szCs w:val="26"/>
        </w:rPr>
        <w:t xml:space="preserve"> </w:t>
      </w:r>
      <w:r>
        <w:rPr>
          <w:rFonts w:ascii="Calibri" w:hAnsi="Calibri" w:cs="Calibri"/>
          <w:color w:val="1A1A1A"/>
          <w:sz w:val="26"/>
          <w:szCs w:val="26"/>
        </w:rPr>
        <w:t>confirm the axis, the slogan, the copy guide; promote the cosmetics design system to the group standard; naming glossary.</w:t>
      </w:r>
    </w:p>
    <w:p w14:paraId="4E16A377" w14:textId="77777777" w:rsidR="00000000" w:rsidRDefault="00581219">
      <w:pPr>
        <w:numPr>
          <w:ilvl w:val="0"/>
          <w:numId w:val="6"/>
        </w:numPr>
        <w:spacing w:before="100" w:after="100"/>
        <w:rPr>
          <w:rFonts w:ascii="Calibri" w:hAnsi="Calibri" w:cs="Calibri"/>
          <w:color w:val="1A1A1A"/>
          <w:sz w:val="26"/>
          <w:szCs w:val="26"/>
        </w:rPr>
      </w:pPr>
      <w:r>
        <w:rPr>
          <w:rFonts w:ascii="Calibri" w:hAnsi="Calibri" w:cs="Calibri"/>
          <w:b/>
          <w:bCs/>
          <w:color w:val="1A1A1A"/>
          <w:sz w:val="26"/>
          <w:szCs w:val="26"/>
        </w:rPr>
        <w:t>P2 (4–8 weeks):</w:t>
      </w:r>
      <w:r>
        <w:rPr>
          <w:rFonts w:ascii="Calibri" w:hAnsi="Calibri" w:cs="Calibri"/>
          <w:color w:val="1A1A1A"/>
          <w:sz w:val="26"/>
          <w:szCs w:val="26"/>
        </w:rPr>
        <w:t xml:space="preserve"> full rebuild of the parent site; Certification and Registration Library; three-layer IA; multiple languages. (Cosmetic</w:t>
      </w:r>
      <w:r>
        <w:rPr>
          <w:rFonts w:ascii="Calibri" w:hAnsi="Calibri" w:cs="Calibri"/>
          <w:color w:val="1A1A1A"/>
          <w:sz w:val="26"/>
          <w:szCs w:val="26"/>
        </w:rPr>
        <w:t>s site cleanup in parallel.)</w:t>
      </w:r>
    </w:p>
    <w:p w14:paraId="5589F188" w14:textId="77777777" w:rsidR="00000000" w:rsidRDefault="00581219">
      <w:pPr>
        <w:numPr>
          <w:ilvl w:val="0"/>
          <w:numId w:val="6"/>
        </w:numPr>
        <w:spacing w:before="100" w:after="100"/>
        <w:rPr>
          <w:rFonts w:ascii="Calibri" w:hAnsi="Calibri" w:cs="Calibri"/>
          <w:color w:val="1A1A1A"/>
          <w:sz w:val="26"/>
          <w:szCs w:val="26"/>
        </w:rPr>
      </w:pPr>
      <w:r>
        <w:rPr>
          <w:rFonts w:ascii="Calibri" w:hAnsi="Calibri" w:cs="Calibri"/>
          <w:b/>
          <w:bCs/>
          <w:color w:val="1A1A1A"/>
          <w:sz w:val="26"/>
          <w:szCs w:val="26"/>
        </w:rPr>
        <w:t>P3 (3–5 weeks):</w:t>
      </w:r>
      <w:r>
        <w:rPr>
          <w:rFonts w:ascii="Calibri" w:hAnsi="Calibri" w:cs="Calibri"/>
          <w:color w:val="1A1A1A"/>
          <w:sz w:val="26"/>
          <w:szCs w:val="26"/>
        </w:rPr>
        <w:t xml:space="preserve"> CDMO site overhaul — after the figures are confirmed.</w:t>
      </w:r>
    </w:p>
    <w:p w14:paraId="2803DE6D" w14:textId="77777777" w:rsidR="00000000" w:rsidRDefault="00581219">
      <w:pPr>
        <w:numPr>
          <w:ilvl w:val="0"/>
          <w:numId w:val="6"/>
        </w:numPr>
        <w:spacing w:before="100" w:after="100"/>
        <w:rPr>
          <w:rFonts w:ascii="Calibri" w:hAnsi="Calibri" w:cs="Calibri"/>
          <w:color w:val="1A1A1A"/>
          <w:sz w:val="26"/>
          <w:szCs w:val="26"/>
        </w:rPr>
      </w:pPr>
      <w:r>
        <w:rPr>
          <w:rFonts w:ascii="Calibri" w:hAnsi="Calibri" w:cs="Calibri"/>
          <w:b/>
          <w:bCs/>
          <w:color w:val="1A1A1A"/>
          <w:sz w:val="26"/>
          <w:szCs w:val="26"/>
        </w:rPr>
        <w:t>P4 (after):</w:t>
      </w:r>
      <w:r>
        <w:rPr>
          <w:rFonts w:ascii="Calibri" w:hAnsi="Calibri" w:cs="Calibri"/>
          <w:color w:val="1A1A1A"/>
          <w:sz w:val="26"/>
          <w:szCs w:val="26"/>
        </w:rPr>
        <w:t xml:space="preserve"> affiliate links, third-party channels.</w:t>
      </w:r>
    </w:p>
    <w:p w14:paraId="3778C447" w14:textId="77777777" w:rsidR="00000000" w:rsidRDefault="00581219">
      <w:pPr>
        <w:pStyle w:val="3"/>
        <w:rPr>
          <w:rFonts w:ascii="Calibri" w:hAnsi="Calibri" w:cs="Calibri"/>
        </w:rPr>
      </w:pPr>
      <w:r>
        <w:rPr>
          <w:rFonts w:ascii="Calibri" w:hAnsi="Calibri" w:cs="Calibri"/>
        </w:rPr>
        <w:t>12. Prerequisites and Boundaries</w:t>
      </w:r>
    </w:p>
    <w:p w14:paraId="2F0EB8FA"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Before anything is posted to the site, four things must be confirmed: the</w:t>
      </w:r>
      <w:r>
        <w:rPr>
          <w:rFonts w:ascii="Calibri" w:hAnsi="Calibri" w:cs="Calibri"/>
          <w:color w:val="1A1A1A"/>
          <w:sz w:val="26"/>
          <w:szCs w:val="26"/>
        </w:rPr>
        <w:t xml:space="preserve"> capacity figure (frozen until settled); the official English product naming; the affiliate scope and order (the number of affiliates is not stated before it is settled); and whether contract-manufactured brands may be cited externally.</w:t>
      </w:r>
    </w:p>
    <w:p w14:paraId="62DB18D9"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 xml:space="preserve">The principle: </w:t>
      </w:r>
      <w:r>
        <w:rPr>
          <w:rFonts w:ascii="Calibri" w:hAnsi="Calibri" w:cs="Calibri"/>
          <w:b/>
          <w:bCs/>
          <w:color w:val="1A1A1A"/>
          <w:sz w:val="26"/>
          <w:szCs w:val="26"/>
        </w:rPr>
        <w:t>only</w:t>
      </w:r>
      <w:r>
        <w:rPr>
          <w:rFonts w:ascii="Calibri" w:hAnsi="Calibri" w:cs="Calibri"/>
          <w:b/>
          <w:bCs/>
          <w:color w:val="1A1A1A"/>
          <w:sz w:val="26"/>
          <w:szCs w:val="26"/>
        </w:rPr>
        <w:t xml:space="preserve"> what is verified goes on the web.</w:t>
      </w:r>
      <w:r>
        <w:rPr>
          <w:rFonts w:ascii="Calibri" w:hAnsi="Calibri" w:cs="Calibri"/>
          <w:color w:val="1A1A1A"/>
          <w:sz w:val="26"/>
          <w:szCs w:val="26"/>
        </w:rPr>
        <w:t xml:space="preserve"> That principle is itself the axis — "say only what can be verified." Items observed during the research that fall outside web scope — corporate and asset relationships, regulatory renewals — are passed to the legal, regul</w:t>
      </w:r>
      <w:r>
        <w:rPr>
          <w:rFonts w:ascii="Calibri" w:hAnsi="Calibri" w:cs="Calibri"/>
          <w:color w:val="1A1A1A"/>
          <w:sz w:val="26"/>
          <w:szCs w:val="26"/>
        </w:rPr>
        <w:t>atory, and management functions, not addressed here.</w:t>
      </w:r>
    </w:p>
    <w:p w14:paraId="0A55285C" w14:textId="77777777" w:rsidR="00000000" w:rsidRDefault="00581219">
      <w:pPr>
        <w:pStyle w:val="3"/>
        <w:rPr>
          <w:rFonts w:ascii="Calibri" w:hAnsi="Calibri" w:cs="Calibri"/>
        </w:rPr>
      </w:pPr>
      <w:r>
        <w:rPr>
          <w:rFonts w:ascii="Calibri" w:hAnsi="Calibri" w:cs="Calibri"/>
        </w:rPr>
        <w:t>13. The Ask</w:t>
      </w:r>
    </w:p>
    <w:p w14:paraId="7FF9F7A2" w14:textId="77777777" w:rsidR="00000000" w:rsidRDefault="00581219">
      <w:pPr>
        <w:pStyle w:val="a3"/>
        <w:rPr>
          <w:rFonts w:ascii="Calibri" w:hAnsi="Calibri" w:cs="Calibri"/>
          <w:color w:val="1A1A1A"/>
          <w:sz w:val="26"/>
          <w:szCs w:val="26"/>
        </w:rPr>
      </w:pPr>
      <w:r>
        <w:rPr>
          <w:rFonts w:ascii="Calibri" w:hAnsi="Calibri" w:cs="Calibri"/>
          <w:color w:val="1A1A1A"/>
          <w:sz w:val="26"/>
          <w:szCs w:val="26"/>
        </w:rPr>
        <w:t>Four requests, all within web scope.</w:t>
      </w:r>
    </w:p>
    <w:p w14:paraId="339DF41E" w14:textId="77777777" w:rsidR="00000000" w:rsidRDefault="00581219">
      <w:pPr>
        <w:numPr>
          <w:ilvl w:val="0"/>
          <w:numId w:val="7"/>
        </w:numPr>
        <w:spacing w:before="100" w:after="100"/>
        <w:rPr>
          <w:rFonts w:ascii="Calibri" w:hAnsi="Calibri" w:cs="Calibri"/>
          <w:color w:val="1A1A1A"/>
          <w:sz w:val="26"/>
          <w:szCs w:val="26"/>
        </w:rPr>
      </w:pPr>
      <w:r>
        <w:rPr>
          <w:rFonts w:ascii="Calibri" w:hAnsi="Calibri" w:cs="Calibri"/>
          <w:b/>
          <w:bCs/>
          <w:color w:val="1A1A1A"/>
          <w:sz w:val="26"/>
          <w:szCs w:val="26"/>
        </w:rPr>
        <w:t>Begin the immediate web cleanup.</w:t>
      </w:r>
      <w:r>
        <w:rPr>
          <w:rFonts w:ascii="Calibri" w:hAnsi="Calibri" w:cs="Calibri"/>
          <w:color w:val="1A1A1A"/>
          <w:sz w:val="26"/>
          <w:szCs w:val="26"/>
        </w:rPr>
        <w:t xml:space="preserve"> No approval needed, zero cost — with a yes, it starts today.</w:t>
      </w:r>
    </w:p>
    <w:p w14:paraId="4DAAFCE3" w14:textId="77777777" w:rsidR="00000000" w:rsidRDefault="00581219">
      <w:pPr>
        <w:numPr>
          <w:ilvl w:val="0"/>
          <w:numId w:val="7"/>
        </w:numPr>
        <w:spacing w:before="100" w:after="100"/>
        <w:rPr>
          <w:rFonts w:ascii="Calibri" w:hAnsi="Calibri" w:cs="Calibri"/>
          <w:color w:val="1A1A1A"/>
          <w:sz w:val="26"/>
          <w:szCs w:val="26"/>
        </w:rPr>
      </w:pPr>
      <w:r>
        <w:rPr>
          <w:rFonts w:ascii="Calibri" w:hAnsi="Calibri" w:cs="Calibri"/>
          <w:b/>
          <w:bCs/>
          <w:color w:val="1A1A1A"/>
          <w:sz w:val="26"/>
          <w:szCs w:val="26"/>
        </w:rPr>
        <w:t>Align the external wording — keep and prove.</w:t>
      </w:r>
      <w:r>
        <w:rPr>
          <w:rFonts w:ascii="Calibri" w:hAnsi="Calibri" w:cs="Calibri"/>
          <w:color w:val="1A1A1A"/>
          <w:sz w:val="26"/>
          <w:szCs w:val="26"/>
        </w:rPr>
        <w:t xml:space="preserve"> Keep "world's l</w:t>
      </w:r>
      <w:r>
        <w:rPr>
          <w:rFonts w:ascii="Calibri" w:hAnsi="Calibri" w:cs="Calibri"/>
          <w:color w:val="1A1A1A"/>
          <w:sz w:val="26"/>
          <w:szCs w:val="26"/>
        </w:rPr>
        <w:t xml:space="preserve">argest class" (in the qualified form, with a measurement axis) and keep anti-aging (as a purpose layer and for the cosmetics division). Layers one and two in the completed tense, layer three in progress; never joined under one subject; the capacity figure </w:t>
      </w:r>
      <w:r>
        <w:rPr>
          <w:rFonts w:ascii="Calibri" w:hAnsi="Calibri" w:cs="Calibri"/>
          <w:color w:val="1A1A1A"/>
          <w:sz w:val="26"/>
          <w:szCs w:val="26"/>
        </w:rPr>
        <w:t>stays off the site until confirmed.</w:t>
      </w:r>
    </w:p>
    <w:p w14:paraId="33B47013" w14:textId="77777777" w:rsidR="00000000" w:rsidRDefault="00581219">
      <w:pPr>
        <w:numPr>
          <w:ilvl w:val="0"/>
          <w:numId w:val="7"/>
        </w:numPr>
        <w:spacing w:before="100" w:after="100"/>
        <w:rPr>
          <w:rFonts w:ascii="Calibri" w:hAnsi="Calibri" w:cs="Calibri"/>
          <w:color w:val="1A1A1A"/>
          <w:sz w:val="26"/>
          <w:szCs w:val="26"/>
        </w:rPr>
      </w:pPr>
      <w:r>
        <w:rPr>
          <w:rFonts w:ascii="Calibri" w:hAnsi="Calibri" w:cs="Calibri"/>
          <w:b/>
          <w:bCs/>
          <w:color w:val="1A1A1A"/>
          <w:sz w:val="26"/>
          <w:szCs w:val="26"/>
        </w:rPr>
        <w:t>Promote the cosmetics design system to the group standard,</w:t>
      </w:r>
      <w:r>
        <w:rPr>
          <w:rFonts w:ascii="Calibri" w:hAnsi="Calibri" w:cs="Calibri"/>
          <w:color w:val="1A1A1A"/>
          <w:sz w:val="26"/>
          <w:szCs w:val="26"/>
        </w:rPr>
        <w:t xml:space="preserve"> and rebuild the parent site on it. The basis for introducing affiliates changes to manufacturing depth — reflected in navigation only after the affiliate scope i</w:t>
      </w:r>
      <w:r>
        <w:rPr>
          <w:rFonts w:ascii="Calibri" w:hAnsi="Calibri" w:cs="Calibri"/>
          <w:color w:val="1A1A1A"/>
          <w:sz w:val="26"/>
          <w:szCs w:val="26"/>
        </w:rPr>
        <w:t>s confirmed.</w:t>
      </w:r>
    </w:p>
    <w:p w14:paraId="2C3C5A0D" w14:textId="77777777" w:rsidR="00000000" w:rsidRDefault="00581219">
      <w:pPr>
        <w:numPr>
          <w:ilvl w:val="0"/>
          <w:numId w:val="7"/>
        </w:numPr>
        <w:spacing w:before="100" w:after="100"/>
        <w:rPr>
          <w:rFonts w:ascii="Calibri" w:hAnsi="Calibri" w:cs="Calibri"/>
          <w:color w:val="1A1A1A"/>
          <w:sz w:val="26"/>
          <w:szCs w:val="26"/>
        </w:rPr>
      </w:pPr>
      <w:r>
        <w:rPr>
          <w:rFonts w:ascii="Calibri" w:hAnsi="Calibri" w:cs="Calibri"/>
          <w:b/>
          <w:bCs/>
          <w:color w:val="1A1A1A"/>
          <w:sz w:val="26"/>
          <w:szCs w:val="26"/>
        </w:rPr>
        <w:t>Route external regulatory wording through review</w:t>
      </w:r>
      <w:r>
        <w:rPr>
          <w:rFonts w:ascii="Calibri" w:hAnsi="Calibri" w:cs="Calibri"/>
          <w:color w:val="1A1A1A"/>
          <w:sz w:val="26"/>
          <w:szCs w:val="26"/>
        </w:rPr>
        <w:t xml:space="preserve"> — only text cleared by the legal and regulatory functions goes live; marketing and web draft it.</w:t>
      </w:r>
    </w:p>
    <w:p w14:paraId="225773B3" w14:textId="77777777" w:rsidR="00000000" w:rsidRDefault="00581219">
      <w:pPr>
        <w:pStyle w:val="a3"/>
        <w:rPr>
          <w:rFonts w:ascii="Calibri" w:hAnsi="Calibri" w:cs="Calibri"/>
          <w:color w:val="1A1A1A"/>
          <w:sz w:val="26"/>
          <w:szCs w:val="26"/>
        </w:rPr>
      </w:pPr>
      <w:r>
        <w:rPr>
          <w:rFonts w:ascii="Calibri" w:hAnsi="Calibri" w:cs="Calibri"/>
          <w:b/>
          <w:bCs/>
          <w:color w:val="1A1A1A"/>
          <w:sz w:val="26"/>
          <w:szCs w:val="26"/>
        </w:rPr>
        <w:t>No asset is discarded.</w:t>
      </w:r>
      <w:r>
        <w:rPr>
          <w:rFonts w:ascii="Calibri" w:hAnsi="Calibri" w:cs="Calibri"/>
          <w:color w:val="1A1A1A"/>
          <w:sz w:val="26"/>
          <w:szCs w:val="26"/>
        </w:rPr>
        <w:t xml:space="preserve"> </w:t>
      </w:r>
      <w:r>
        <w:rPr>
          <w:rFonts w:ascii="Calibri" w:hAnsi="Calibri" w:cs="Calibri"/>
          <w:color w:val="1A1A1A"/>
          <w:sz w:val="26"/>
          <w:szCs w:val="26"/>
        </w:rPr>
        <w:t>On the web, we stop explaining ourselves — and we begin to hand over the numbers.</w:t>
      </w:r>
    </w:p>
    <w:sectPr w:rsidR="0000000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CB44C" w14:textId="77777777" w:rsidR="00581219" w:rsidRDefault="00581219" w:rsidP="00581219">
      <w:r>
        <w:separator/>
      </w:r>
    </w:p>
  </w:endnote>
  <w:endnote w:type="continuationSeparator" w:id="0">
    <w:p w14:paraId="611939D3" w14:textId="77777777" w:rsidR="00581219" w:rsidRDefault="00581219" w:rsidP="00581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9495C2" w14:textId="77777777" w:rsidR="00581219" w:rsidRDefault="00581219" w:rsidP="00581219">
      <w:r>
        <w:separator/>
      </w:r>
    </w:p>
  </w:footnote>
  <w:footnote w:type="continuationSeparator" w:id="0">
    <w:p w14:paraId="67428DE9" w14:textId="77777777" w:rsidR="00581219" w:rsidRDefault="00581219" w:rsidP="00581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741A1"/>
    <w:multiLevelType w:val="multilevel"/>
    <w:tmpl w:val="E73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35D"/>
    <w:multiLevelType w:val="multilevel"/>
    <w:tmpl w:val="0C5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2"/>
    <w:multiLevelType w:val="multilevel"/>
    <w:tmpl w:val="DFF4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F4547"/>
    <w:multiLevelType w:val="multilevel"/>
    <w:tmpl w:val="F652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86006"/>
    <w:multiLevelType w:val="multilevel"/>
    <w:tmpl w:val="227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F55E0"/>
    <w:multiLevelType w:val="multilevel"/>
    <w:tmpl w:val="979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E7C4E"/>
    <w:multiLevelType w:val="multilevel"/>
    <w:tmpl w:val="1AA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1219"/>
    <w:rsid w:val="005812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9C9F8"/>
  <w15:chartTrackingRefBased/>
  <w15:docId w15:val="{A81DA9D2-E643-4365-8042-25CFC781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color w:val="0F2A43"/>
      <w:kern w:val="36"/>
      <w:sz w:val="40"/>
      <w:szCs w:val="40"/>
    </w:rPr>
  </w:style>
  <w:style w:type="paragraph" w:styleId="2">
    <w:name w:val="heading 2"/>
    <w:basedOn w:val="a"/>
    <w:link w:val="2Char"/>
    <w:uiPriority w:val="9"/>
    <w:qFormat/>
    <w:pPr>
      <w:pBdr>
        <w:bottom w:val="single" w:sz="8" w:space="3" w:color="1F6FEB"/>
      </w:pBdr>
      <w:spacing w:before="400" w:after="100" w:afterAutospacing="1"/>
      <w:outlineLvl w:val="1"/>
    </w:pPr>
    <w:rPr>
      <w:b/>
      <w:bCs/>
      <w:color w:val="0F2A43"/>
      <w:sz w:val="30"/>
      <w:szCs w:val="30"/>
    </w:rPr>
  </w:style>
  <w:style w:type="paragraph" w:styleId="3">
    <w:name w:val="heading 3"/>
    <w:basedOn w:val="a"/>
    <w:link w:val="3Char"/>
    <w:uiPriority w:val="9"/>
    <w:qFormat/>
    <w:pPr>
      <w:spacing w:before="280" w:after="100" w:afterAutospacing="1"/>
      <w:outlineLvl w:val="2"/>
    </w:pPr>
    <w:rPr>
      <w:b/>
      <w:bCs/>
      <w:color w:val="0F2A43"/>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before="160" w:after="160"/>
    </w:pPr>
  </w:style>
  <w:style w:type="paragraph" w:styleId="a3">
    <w:name w:val="Normal (Web)"/>
    <w:basedOn w:val="a"/>
    <w:uiPriority w:val="99"/>
    <w:semiHidden/>
    <w:unhideWhenUsed/>
    <w:pPr>
      <w:spacing w:before="160" w:after="160"/>
    </w:pPr>
  </w:style>
  <w:style w:type="paragraph" w:styleId="a4">
    <w:name w:val="header"/>
    <w:basedOn w:val="a"/>
    <w:link w:val="Char"/>
    <w:uiPriority w:val="99"/>
    <w:unhideWhenUsed/>
    <w:rsid w:val="00581219"/>
    <w:pPr>
      <w:tabs>
        <w:tab w:val="center" w:pos="4513"/>
        <w:tab w:val="right" w:pos="9026"/>
      </w:tabs>
      <w:snapToGrid w:val="0"/>
    </w:pPr>
  </w:style>
  <w:style w:type="character" w:customStyle="1" w:styleId="Char">
    <w:name w:val="머리글 Char"/>
    <w:basedOn w:val="a0"/>
    <w:link w:val="a4"/>
    <w:uiPriority w:val="99"/>
    <w:rsid w:val="00581219"/>
    <w:rPr>
      <w:rFonts w:ascii="굴림" w:eastAsia="굴림" w:hAnsi="굴림" w:cs="굴림"/>
      <w:sz w:val="24"/>
      <w:szCs w:val="24"/>
    </w:rPr>
  </w:style>
  <w:style w:type="paragraph" w:styleId="a5">
    <w:name w:val="footer"/>
    <w:basedOn w:val="a"/>
    <w:link w:val="Char0"/>
    <w:uiPriority w:val="99"/>
    <w:unhideWhenUsed/>
    <w:rsid w:val="00581219"/>
    <w:pPr>
      <w:tabs>
        <w:tab w:val="center" w:pos="4513"/>
        <w:tab w:val="right" w:pos="9026"/>
      </w:tabs>
      <w:snapToGrid w:val="0"/>
    </w:pPr>
  </w:style>
  <w:style w:type="character" w:customStyle="1" w:styleId="Char0">
    <w:name w:val="바닥글 Char"/>
    <w:basedOn w:val="a0"/>
    <w:link w:val="a5"/>
    <w:uiPriority w:val="99"/>
    <w:rsid w:val="00581219"/>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2562</Words>
  <Characters>14604</Characters>
  <Application>Microsoft Office Word</Application>
  <DocSecurity>4</DocSecurity>
  <Lines>121</Lines>
  <Paragraphs>34</Paragraphs>
  <ScaleCrop>false</ScaleCrop>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GANA Rebranding — Practice</dc:title>
  <dc:subject/>
  <dc:creator>소정 박</dc:creator>
  <cp:keywords/>
  <dc:description/>
  <cp:lastModifiedBy>소정 박</cp:lastModifiedBy>
  <cp:revision>2</cp:revision>
  <dcterms:created xsi:type="dcterms:W3CDTF">2026-07-27T04:32:00Z</dcterms:created>
  <dcterms:modified xsi:type="dcterms:W3CDTF">2026-07-27T04:32:00Z</dcterms:modified>
</cp:coreProperties>
</file>