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 AI 工具集指南：规则 · 文件 · 卸载</w:t>
      </w:r>
    </w:p>
    <w:p>
      <w:pPr>
        <w:jc w:val="left"/>
      </w:pPr>
      <w:r>
        <w:rPr>
          <w:sz w:val="19"/>
        </w:rPr>
        <w:t>版本 1.4 ｜ 生成日期 2026-10-04 ｜ 适用机器：Redmi 16 Pro 2026（Intel Core Ultra 5 338H）</w:t>
      </w:r>
    </w:p>
    <w:p>
      <w:r>
        <w:rPr>
          <w:b/>
        </w:rPr>
        <w:t>强制规则 · 思考语言：思考、推理、计划与草稿一律使用中文；代码、命令、标识符、路径保持原文。</w:t>
      </w:r>
    </w:p>
    <w:p>
      <w:pPr>
        <w:pStyle w:val="Heading1"/>
      </w:pPr>
      <w:r>
        <w:t>1. 这份文档是什么</w:t>
      </w:r>
    </w:p>
    <w:p>
      <w:r>
        <w:t>本机部署了一套完全本地运行的 AI 工具（识图、读文档、目标检测、异常检测、生成图片），通过 MCP 协议接入 DeepSeek Harness，任何对话都能直接调用。全部推理在本机完成，不联网、不上传、无 API 费用。本文档给出三样东西：① 工具清单与调用规则；② 到底装了哪些文件、放在哪里；③ 如何把它彻底删除干净。</w:t>
      </w:r>
    </w:p>
    <w:p>
      <w:r>
        <w:t>配套的机器可读规则在 E:\Deepseek\policy\ai-tools.json，人类可读规则在 E:\Deepseek\policy\ai-tool-policy.md；两者是本工具集的“规则源”。</w:t>
      </w:r>
    </w:p>
    <w:p>
      <w:pPr>
        <w:pStyle w:val="Heading1"/>
      </w:pPr>
      <w:r>
        <w:t>2. 运行环境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059"/>
        <w:gridCol w:w="6436"/>
      </w:tblGrid>
      <w:tr>
        <w:tc>
          <w:tcPr>
            <w:tcW w:type="dxa" w:w="2059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43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机型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Redmi 16 Pro 2026（笔记本）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CPU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Intel Core Ultra 5 338H，12 逻辑核心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GPU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Intel Arc B370 核显（10 Xe3 / 80 EU），无独立显存，共享内存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NPU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Intel AI Boost（驱动随系统提供，非本工具集安装）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内存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32 GB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屏幕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3200×2000 @200% 165 Hz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AI 文件根目录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D:\AI_file（约 20.3 GB）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D 盘余量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约 366 GB（安装后）</w:t>
            </w:r>
          </w:p>
        </w:tc>
      </w:tr>
    </w:tbl>
    <w:p/>
    <w:p>
      <w:r>
        <w:t>重要：NPU 只做推理，不能训练；显存为共享内存，所以模型体积与并发数要克制。</w:t>
      </w:r>
    </w:p>
    <w:p>
      <w:pPr>
        <w:pStyle w:val="Heading1"/>
      </w:pPr>
      <w:r>
        <w:t>3. 工具总表（8 个）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1843"/>
        <w:gridCol w:w="2260"/>
        <w:gridCol w:w="1843"/>
        <w:gridCol w:w="849"/>
        <w:gridCol w:w="1699"/>
      </w:tblGrid>
      <w:tr>
        <w:tc>
          <w:tcPr>
            <w:tcW w:type="dxa" w:w="1843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261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843"/>
          </w:tcPr>
          <w:p>
            <w:r/>
            <w:r>
              <w:rPr>
                <w:b/>
                <w:sz w:val="18"/>
              </w:rPr>
              <w:t>引擎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设备</w:t>
            </w:r>
          </w:p>
        </w:tc>
        <w:tc>
          <w:tcPr>
            <w:tcW w:type="dxa" w:w="1699"/>
          </w:tcPr>
          <w:p>
            <w:r/>
            <w:r>
              <w:rPr>
                <w:b/>
                <w:sz w:val="18"/>
              </w:rPr>
              <w:t>实测耗时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7"/>
              </w:rPr>
              <w:t>vision_read_document</w:t>
            </w:r>
          </w:p>
        </w:tc>
        <w:tc>
          <w:tcPr>
            <w:tcW w:type="dxa" w:w="2261"/>
          </w:tcPr>
          <w:p>
            <w:r/>
            <w:r>
              <w:rPr>
                <w:sz w:val="17"/>
              </w:rPr>
              <w:t>读 PDF / 图片文档</w:t>
            </w:r>
          </w:p>
        </w:tc>
        <w:tc>
          <w:tcPr>
            <w:tcW w:type="dxa" w:w="1843"/>
          </w:tcPr>
          <w:p>
            <w:r/>
            <w:r>
              <w:rPr>
                <w:sz w:val="17"/>
              </w:rPr>
              <w:t>文字层 → PP-OCR → VLM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CPU/NPU</w:t>
            </w:r>
          </w:p>
        </w:tc>
        <w:tc>
          <w:tcPr>
            <w:tcW w:type="dxa" w:w="1699"/>
          </w:tcPr>
          <w:p>
            <w:r/>
            <w:r>
              <w:rPr>
                <w:sz w:val="17"/>
              </w:rPr>
              <w:t>文字层瞬时；OCR 1.3–4.1 s/页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7"/>
              </w:rPr>
              <w:t>vision_ocr</w:t>
            </w:r>
          </w:p>
        </w:tc>
        <w:tc>
          <w:tcPr>
            <w:tcW w:type="dxa" w:w="2261"/>
          </w:tcPr>
          <w:p>
            <w:r/>
            <w:r>
              <w:rPr>
                <w:sz w:val="17"/>
              </w:rPr>
              <w:t>识别扫描件、截图、标签、表格文字</w:t>
            </w:r>
          </w:p>
        </w:tc>
        <w:tc>
          <w:tcPr>
            <w:tcW w:type="dxa" w:w="1843"/>
          </w:tcPr>
          <w:p>
            <w:r/>
            <w:r>
              <w:rPr>
                <w:sz w:val="17"/>
              </w:rPr>
              <w:t>PP-OCRv6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CPU</w:t>
            </w:r>
          </w:p>
        </w:tc>
        <w:tc>
          <w:tcPr>
            <w:tcW w:type="dxa" w:w="1699"/>
          </w:tcPr>
          <w:p>
            <w:r/>
            <w:r>
              <w:rPr>
                <w:sz w:val="17"/>
              </w:rPr>
              <w:t>0.6–4.1 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7"/>
              </w:rPr>
              <w:t>vision_describe</w:t>
            </w:r>
          </w:p>
        </w:tc>
        <w:tc>
          <w:tcPr>
            <w:tcW w:type="dxa" w:w="2261"/>
          </w:tcPr>
          <w:p>
            <w:r/>
            <w:r>
              <w:rPr>
                <w:sz w:val="17"/>
              </w:rPr>
              <w:t>描述图形/图表/场景/照片</w:t>
            </w:r>
          </w:p>
        </w:tc>
        <w:tc>
          <w:tcPr>
            <w:tcW w:type="dxa" w:w="1843"/>
          </w:tcPr>
          <w:p>
            <w:r/>
            <w:r>
              <w:rPr>
                <w:sz w:val="17"/>
              </w:rPr>
              <w:t>Qwen2.5-VL-3B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NPU</w:t>
            </w:r>
          </w:p>
        </w:tc>
        <w:tc>
          <w:tcPr>
            <w:tcW w:type="dxa" w:w="1699"/>
          </w:tcPr>
          <w:p>
            <w:r/>
            <w:r>
              <w:rPr>
                <w:sz w:val="17"/>
              </w:rPr>
              <w:t>11–18 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7"/>
              </w:rPr>
              <w:t>vision_ask</w:t>
            </w:r>
          </w:p>
        </w:tc>
        <w:tc>
          <w:tcPr>
            <w:tcW w:type="dxa" w:w="2261"/>
          </w:tcPr>
          <w:p>
            <w:r/>
            <w:r>
              <w:rPr>
                <w:sz w:val="17"/>
              </w:rPr>
              <w:t>就图片提问（计数、方位、读数）</w:t>
            </w:r>
          </w:p>
        </w:tc>
        <w:tc>
          <w:tcPr>
            <w:tcW w:type="dxa" w:w="1843"/>
          </w:tcPr>
          <w:p>
            <w:r/>
            <w:r>
              <w:rPr>
                <w:sz w:val="17"/>
              </w:rPr>
              <w:t>Qwen2.5-VL-3B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NPU</w:t>
            </w:r>
          </w:p>
        </w:tc>
        <w:tc>
          <w:tcPr>
            <w:tcW w:type="dxa" w:w="1699"/>
          </w:tcPr>
          <w:p>
            <w:r/>
            <w:r>
              <w:rPr>
                <w:sz w:val="17"/>
              </w:rPr>
              <w:t>11–18 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7"/>
              </w:rPr>
              <w:t>vision_status</w:t>
            </w:r>
          </w:p>
        </w:tc>
        <w:tc>
          <w:tcPr>
            <w:tcW w:type="dxa" w:w="2261"/>
          </w:tcPr>
          <w:p>
            <w:r/>
            <w:r>
              <w:rPr>
                <w:sz w:val="17"/>
              </w:rPr>
              <w:t>查看引擎、设备、预算状态</w:t>
            </w:r>
          </w:p>
        </w:tc>
        <w:tc>
          <w:tcPr>
            <w:tcW w:type="dxa" w:w="184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99"/>
          </w:tcPr>
          <w:p>
            <w:r/>
            <w:r>
              <w:rPr>
                <w:sz w:val="17"/>
              </w:rPr>
              <w:t>瞬时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7"/>
              </w:rPr>
              <w:t>vision_detect</w:t>
            </w:r>
          </w:p>
        </w:tc>
        <w:tc>
          <w:tcPr>
            <w:tcW w:type="dxa" w:w="2261"/>
          </w:tcPr>
          <w:p>
            <w:r/>
            <w:r>
              <w:rPr>
                <w:sz w:val="17"/>
              </w:rPr>
              <w:t>物体定位 / 计数（给框与分数）</w:t>
            </w:r>
          </w:p>
        </w:tc>
        <w:tc>
          <w:tcPr>
            <w:tcW w:type="dxa" w:w="1843"/>
          </w:tcPr>
          <w:p>
            <w:r/>
            <w:r>
              <w:rPr>
                <w:sz w:val="17"/>
              </w:rPr>
              <w:t>YOLOX-Tiny（IR）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NPU</w:t>
            </w:r>
          </w:p>
        </w:tc>
        <w:tc>
          <w:tcPr>
            <w:tcW w:type="dxa" w:w="1699"/>
          </w:tcPr>
          <w:p>
            <w:r/>
            <w:r>
              <w:rPr>
                <w:sz w:val="17"/>
              </w:rPr>
              <w:t>7 ms（热态）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7"/>
              </w:rPr>
              <w:t>anomaly_score</w:t>
            </w:r>
          </w:p>
        </w:tc>
        <w:tc>
          <w:tcPr>
            <w:tcW w:type="dxa" w:w="2261"/>
          </w:tcPr>
          <w:p>
            <w:r/>
            <w:r>
              <w:rPr>
                <w:sz w:val="17"/>
              </w:rPr>
              <w:t>无监督良品/不良品筛查（给分数与热力图）</w:t>
            </w:r>
          </w:p>
        </w:tc>
        <w:tc>
          <w:tcPr>
            <w:tcW w:type="dxa" w:w="1843"/>
          </w:tcPr>
          <w:p>
            <w:r/>
            <w:r>
              <w:rPr>
                <w:sz w:val="17"/>
              </w:rPr>
              <w:t>PatchCore（Anomalib）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NPU</w:t>
            </w:r>
          </w:p>
        </w:tc>
        <w:tc>
          <w:tcPr>
            <w:tcW w:type="dxa" w:w="1699"/>
          </w:tcPr>
          <w:p>
            <w:r/>
            <w:r>
              <w:rPr>
                <w:sz w:val="17"/>
              </w:rPr>
              <w:t>41–97 ms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7"/>
              </w:rPr>
              <w:t>image_generate</w:t>
            </w:r>
          </w:p>
        </w:tc>
        <w:tc>
          <w:tcPr>
            <w:tcW w:type="dxa" w:w="2261"/>
          </w:tcPr>
          <w:p>
            <w:r/>
            <w:r>
              <w:rPr>
                <w:sz w:val="17"/>
              </w:rPr>
              <w:t>文生图（插画、纹理、合成数据）</w:t>
            </w:r>
          </w:p>
        </w:tc>
        <w:tc>
          <w:tcPr>
            <w:tcW w:type="dxa" w:w="1843"/>
          </w:tcPr>
          <w:p>
            <w:r/>
            <w:r>
              <w:rPr>
                <w:sz w:val="17"/>
              </w:rPr>
              <w:t>FLUX.1-schnell int4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iGPU</w:t>
            </w:r>
          </w:p>
        </w:tc>
        <w:tc>
          <w:tcPr>
            <w:tcW w:type="dxa" w:w="1699"/>
          </w:tcPr>
          <w:p>
            <w:r/>
            <w:r>
              <w:rPr>
                <w:sz w:val="17"/>
              </w:rPr>
              <w:t>13–18 s（1024²，4 步）</w:t>
            </w:r>
          </w:p>
        </w:tc>
      </w:tr>
    </w:tbl>
    <w:p/>
    <w:p>
      <w:r>
        <w:t>调用方式：在对话中直接说明需求即可，模型侧工具名为 mcp__vision__&lt;工具名&gt;。</w:t>
      </w:r>
    </w:p>
    <w:p>
      <w:pPr>
        <w:pStyle w:val="Heading1"/>
      </w:pPr>
      <w:r>
        <w:t>4. 调用规则（必须遵守）</w:t>
      </w:r>
    </w:p>
    <w:p>
      <w:pPr>
        <w:pStyle w:val="Heading2"/>
      </w:pPr>
      <w:r>
        <w:t>4.1 路由：按输入类型选工具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476"/>
        <w:gridCol w:w="2548"/>
        <w:gridCol w:w="3470"/>
      </w:tblGrid>
      <w:tr>
        <w:tc>
          <w:tcPr>
            <w:tcW w:type="dxa" w:w="2477"/>
          </w:tcPr>
          <w:p>
            <w: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2549"/>
          </w:tcPr>
          <w:p>
            <w:r/>
            <w:r>
              <w:rPr>
                <w:b/>
                <w:sz w:val="18"/>
              </w:rPr>
              <w:t>用哪个工具</w:t>
            </w:r>
          </w:p>
        </w:tc>
        <w:tc>
          <w:tcPr>
            <w:tcW w:type="dxa" w:w="347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电子原生 PDF（有文字层）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vision_read_document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文字层精确且瞬时，不要绕道 OCR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扫描件 / 照片里的文字 / 截图 / 标签 / 表格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vision_ocr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原生分辨率、无 token 上限、小字准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图形 / 图表 / 框图 / 场景 / 照片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vision_describe 或 vision_ask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这是视觉语言模型的强项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要“在哪里、有几个、占多大”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vision_detect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返回框、类别、分数，可加类别过滤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只有良品基准、没有缺陷样本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anomaly_score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无监督，输出分数与热力图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需要一张不存在的图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image_generate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本地生成，合成内容须标注</w:t>
            </w:r>
          </w:p>
        </w:tc>
      </w:tr>
    </w:tbl>
    <w:p/>
    <w:p>
      <w:pPr>
        <w:pStyle w:val="Heading2"/>
      </w:pPr>
      <w:r>
        <w:t>4.2 可信度分级（决定回答怎么措辞）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476"/>
        <w:gridCol w:w="2548"/>
        <w:gridCol w:w="3470"/>
      </w:tblGrid>
      <w:tr>
        <w:tc>
          <w:tcPr>
            <w:tcW w:type="dxa" w:w="2477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2549"/>
          </w:tcPr>
          <w:p>
            <w:r/>
            <w:r>
              <w:rPr>
                <w:b/>
                <w:sz w:val="18"/>
              </w:rPr>
              <w:t>可信度</w:t>
            </w:r>
          </w:p>
        </w:tc>
        <w:tc>
          <w:tcPr>
            <w:tcW w:type="dxa" w:w="347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PDF 文字层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精确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可直接引用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PP-OCR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高（实测与文字层逐字一致）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可直接引用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视觉语言模型（VLM）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中偏低：语义可靠、细节与品类不可靠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必须附来源提示，写明“未与文字层/OCR 交叉校验”；数字与型号写成“疑似”并给出复核途径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检测 / 异常分数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模型输出，不是测量值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必须以“分数”陈述，不得当作合格证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生成图片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合成内容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不得当作真实照片或证据</w:t>
            </w:r>
          </w:p>
        </w:tc>
      </w:tr>
    </w:tbl>
    <w:p/>
    <w:p>
      <w:pPr>
        <w:pStyle w:val="Heading2"/>
      </w:pPr>
      <w:r>
        <w:t>4.3 硬限制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476"/>
        <w:gridCol w:w="2548"/>
        <w:gridCol w:w="3470"/>
      </w:tblGrid>
      <w:tr>
        <w:tc>
          <w:tcPr>
            <w:tcW w:type="dxa" w:w="2477"/>
          </w:tcPr>
          <w:p>
            <w:r/>
            <w:r>
              <w:rPr>
                <w:b/>
                <w:sz w:val="18"/>
              </w:rPr>
              <w:t>限制</w:t>
            </w:r>
          </w:p>
        </w:tc>
        <w:tc>
          <w:tcPr>
            <w:tcW w:type="dxa" w:w="2549"/>
          </w:tcPr>
          <w:p>
            <w:r/>
            <w:r>
              <w:rPr>
                <w:b/>
                <w:sz w:val="18"/>
              </w:rPr>
              <w:t>数值</w:t>
            </w:r>
          </w:p>
        </w:tc>
        <w:tc>
          <w:tcPr>
            <w:tcW w:type="dxa" w:w="347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NPU 单次视觉输入上限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1024 token ≈ 80 万像素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服务端自动裁白边并降到 ≤980；要看细节先裁区域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MAX_PROMPT_LEN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NPU 专属，抬高后输出为空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不要尝试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偶发空输出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模型有时把 EOS 当第一个 token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服务端用 min_new_tokens 阶梯（1→32→96）自动重试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PP-OCR 设备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上游写死 CPU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1–4 s/页可接受，不要声称用了 NPU</w:t>
            </w:r>
          </w:p>
        </w:tc>
      </w:tr>
    </w:tbl>
    <w:p/>
    <w:p>
      <w:pPr>
        <w:pStyle w:val="Heading2"/>
      </w:pPr>
      <w:r>
        <w:t>4.4 生图的时间预算（image_generate 专用）</w:t>
      </w:r>
    </w:p>
    <w:p>
      <w:r>
        <w:t>背景：曾出现“给一个提示词就连续生成数十上百张图、再逐张审查”的情况，导致回答极慢。注意工具本身一次调用只出 1 张（FLUX 1024²/4 步：首次含编译约 30–50 s，之后每张 13–18 s），批量行为来自调度，因此按下列预算约束：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059"/>
        <w:gridCol w:w="6436"/>
      </w:tblGrid>
      <w:tr>
        <w:tc>
          <w:tcPr>
            <w:tcW w:type="dxa" w:w="2059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437"/>
          </w:tcPr>
          <w:p>
            <w:r/>
            <w:r>
              <w:rPr>
                <w:b/>
                <w:sz w:val="18"/>
              </w:rPr>
              <w:t>硬性预算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默认张数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1 张（用户未明确要求多张时只调用一次；模型：FLUX.1-schnell int4，Apache-2.0）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上限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4 张；仅在用户明确要多方案时，且须先告知张数与预计耗时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视觉审查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用户没要求就不审查；要审查时每次请求最多 1 次视觉调用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prompt 迭代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最多 2 轮，之后停下来问用户，不得无限重抽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单次请求总时长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目标 ≤60 s（FLUX 一冷一热约 30–50 s；约 1 张图 + 至多 1 次审查）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参数默认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1024×1024、steps 4、guidance 0.0（FLUX.1-schnell 不用 CFG，0.0 必须显式传递）；用户没要求不改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可复现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要“同一张”时固定 seed，不为挑好看反复换 seed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报告格式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一句话：张数 / 尺寸 / 步数 / 总耗时 / 文件路径</w:t>
            </w:r>
          </w:p>
        </w:tc>
      </w:tr>
    </w:tbl>
    <w:p/>
    <w:p>
      <w:r>
        <w:t>一句话记忆：一次调用一张图，要评价只评一次，最多两轮就收手。</w:t>
      </w:r>
    </w:p>
    <w:p>
      <w:pPr>
        <w:pStyle w:val="Heading2"/>
      </w:pPr>
      <w:r>
        <w:t>4.5 模型变更后的运维规则（必读）</w:t>
      </w:r>
    </w:p>
    <w:p>
      <w:r>
        <w:t>2026-10-05 实际故障：更换生图模型并删除旧模型目录后，其他对话的生图工具报错。根因是 MCP 服务端为常驻进程，内存里仍是启动时载入的旧配置（默认模型路径指向已删除的目录），而旧代码只在成功时写日志，失败是静默的。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059"/>
        <w:gridCol w:w="6436"/>
      </w:tblGrid>
      <w:tr>
        <w:tc>
          <w:tcPr>
            <w:tcW w:type="dxa" w:w="2059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6437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1. 改完模型配置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必须重启 MCP 服务端：终止旧进程让宿主重新拉起，或重启客户端／新开一个对话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2. 重启后自检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调用 vision_status：四个模型都必须显示 [present]；出现 MISSING 就说明进程仍在跑旧配置，不要再调用工具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3. 删除或移动模型文件前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先确认没有常驻进程依赖它，否则相关工具会静默失效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4. 排查入口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看 vision-mcp.log 末尾：服务端启动时会记录四个 model check，调用失败会记录 image_generate FAILED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5. 验证方式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必须做真实的工具调用，不能只看代码或文件是否存在（本次事故中代码与文件都是对的，坏的是进程里那份旧代码）</w:t>
            </w:r>
          </w:p>
        </w:tc>
      </w:tr>
    </w:tbl>
    <w:p/>
    <w:p>
      <w:r>
        <w:t>一句话记忆：改配置 → 重启服务端 → vision_status 确认 [present] → 再调用。</w:t>
      </w:r>
    </w:p>
    <w:p>
      <w:pPr>
        <w:pStyle w:val="Heading1"/>
      </w:pPr>
      <w:r>
        <w:t>5. 硬件寿命规则（本机为笔记本）</w:t>
      </w:r>
    </w:p>
    <w:p>
      <w:r>
        <w:t>调用本地 AI 时必须同时考虑延长这台电脑的寿命，规则如下：</w:t>
      </w:r>
    </w:p>
    <w:p>
      <w:pPr>
        <w:pStyle w:val="ListBullet"/>
      </w:pPr>
      <w:r>
        <w:t>能用 NPU/iGPU 就不占 CPU：同一任务实测 NPU 7 ms vs CPU 21 ms（YOLOX-Tiny），能效差距更大，发热更少、风扇更少转、电池更耐久。</w:t>
      </w:r>
    </w:p>
    <w:p>
      <w:pPr>
        <w:pStyle w:val="ListBullet"/>
      </w:pPr>
      <w:r>
        <w:t>够用即止：文字层 → PP-OCR → VLM → 检测/异常 → 生图/训练，能用毫秒级工具解决就不要动用分钟级的。</w:t>
      </w:r>
    </w:p>
    <w:p>
      <w:pPr>
        <w:pStyle w:val="ListBullet"/>
      </w:pPr>
      <w:r>
        <w:t>一次加载、多次复用：服务端按设备懒加载并缓存管线，空闲不耗电；不要为“预热”空跑，也不要频繁重启服务端（每次都要重新编译模型、重读数 GB 权重）。</w:t>
      </w:r>
    </w:p>
    <w:p>
      <w:pPr>
        <w:pStyle w:val="ListBullet"/>
      </w:pPr>
      <w:r>
        <w:t>重负载先声明：预计超过 60 s 持续满载的任务（训练、批量推理、生图循环）必须先告知使用者，并优先在插电状态下进行；不要同时排多个重负载任务。</w:t>
      </w:r>
    </w:p>
    <w:p>
      <w:pPr>
        <w:pStyle w:val="ListBullet"/>
      </w:pPr>
      <w:r>
        <w:t>不做无谓的大写入：模型只下载一次，包管理器缓存在 D:\AI_file\_caches；不要把同一份数据在多处复制，避免 SSD 无谓磨损。</w:t>
      </w:r>
    </w:p>
    <w:p>
      <w:pPr>
        <w:pStyle w:val="ListBullet"/>
      </w:pPr>
      <w:r>
        <w:t>温度监控（本机实测可用）：</w:t>
      </w:r>
    </w:p>
    <w:p>
      <w:pPr>
        <w:spacing w:after="80"/>
        <w:ind w:left="280"/>
      </w:pPr>
      <w:r>
        <w:rPr>
          <w:rFonts w:ascii="Consolas" w:hAnsi="Consolas" w:eastAsia="Consolas"/>
          <w:color w:val="333333"/>
          <w:sz w:val="18"/>
        </w:rPr>
        <w:t>(Get-Counter '\Thermal Zone Information(*)\Temperature').CounterSamples |</w:t>
        <w:br/>
        <w:t xml:space="preserve">  ForEach-Object { '{0}: {1:N1} C' -f $_.InstanceName, ($_.CookedValue - 273.15) }</w:t>
      </w:r>
    </w:p>
    <w:p>
      <w:r>
        <w:t>本机空闲基线约 27.9 ℃。MSAcpi_ThermalZoneTemperature 在本机拒绝访问，不要使用。</w:t>
      </w:r>
    </w:p>
    <w:p>
      <w:pPr>
        <w:pStyle w:val="ListBullet"/>
      </w:pPr>
      <w:r>
        <w:t>电池与散热：长时间重负载请插电并保证通风（不要放在床上或沙发上堵住进风口）；若厂商提供电池养护/限制充电模式，长期插电时建议开启。</w:t>
      </w:r>
    </w:p>
    <w:p>
      <w:pPr>
        <w:pStyle w:val="ListBullet"/>
      </w:pPr>
      <w:r>
        <w:t>长任务可中断：把重负载拆成可分批的小任务，允许随时叫停，避免“一跑几小时”。</w:t>
      </w:r>
    </w:p>
    <w:p>
      <w:pPr>
        <w:pStyle w:val="Heading1"/>
      </w:pPr>
      <w:r>
        <w:t>6. 装了哪些文件（清单与路径）</w:t>
      </w:r>
    </w:p>
    <w:p>
      <w:pPr>
        <w:pStyle w:val="Heading2"/>
      </w:pPr>
      <w:r>
        <w:t>6.1 目录结构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476"/>
        <w:gridCol w:w="2548"/>
        <w:gridCol w:w="3470"/>
      </w:tblGrid>
      <w:tr>
        <w:tc>
          <w:tcPr>
            <w:tcW w:type="dxa" w:w="2477"/>
          </w:tcPr>
          <w:p>
            <w:r/>
            <w:r>
              <w:rPr>
                <w:b/>
                <w:sz w:val="18"/>
              </w:rPr>
              <w:t>目录</w:t>
            </w:r>
          </w:p>
        </w:tc>
        <w:tc>
          <w:tcPr>
            <w:tcW w:type="dxa" w:w="2549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470"/>
          </w:tcPr>
          <w:p>
            <w:r/>
            <w:r>
              <w:rPr>
                <w:b/>
                <w:sz w:val="18"/>
              </w:rPr>
              <w:t>体积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D:\AI_file\runtime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Python 3.12.10 运行时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117 MB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D:\AI_file\tools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MinGit 2.56.0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91 MB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D:\AI_file\envs\openvino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Python 虚拟环境（全部 AI 依赖）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1.90 GB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D:\AI_file\models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4 个模型 + 1 份导出源码（见 6.2）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11.5 GB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D:\AI_file\datasets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自建合成缺陷数据集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3.8 MB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D:\AI_file\outputs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标注图、热力图、生成图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6.1 MB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D:\AI_file\mcp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MCP 视觉服务端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&lt; 1 MB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D:\AI_file\logs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服务端日志 vision-mcp.log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&lt; 1 MB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D:\AI_file\workspace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PDF 渲染页、临时文件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199 MB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D:\AI_file\_downloads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安装包暂存（Python、MinGit）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64 MB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D:\AI_file\_caches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pip / HuggingFace / PyTorch / OpenVINO 缓存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6.89 GB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合计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约 20.3 GB</w:t>
            </w:r>
          </w:p>
        </w:tc>
      </w:tr>
    </w:tbl>
    <w:p/>
    <w:p>
      <w:pPr>
        <w:pStyle w:val="Heading2"/>
      </w:pPr>
      <w:r>
        <w:t>6.2 模型清单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260"/>
        <w:gridCol w:w="1771"/>
        <w:gridCol w:w="1339"/>
        <w:gridCol w:w="3124"/>
      </w:tblGrid>
      <w:tr>
        <w:tc>
          <w:tcPr>
            <w:tcW w:type="dxa" w:w="2261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71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339"/>
          </w:tcPr>
          <w:p>
            <w:r/>
            <w:r>
              <w:rPr>
                <w:b/>
                <w:sz w:val="18"/>
              </w:rPr>
              <w:t>体积</w:t>
            </w:r>
          </w:p>
        </w:tc>
        <w:tc>
          <w:tcPr>
            <w:tcW w:type="dxa" w:w="3125"/>
          </w:tcPr>
          <w:p>
            <w:r/>
            <w:r>
              <w:rPr>
                <w:b/>
                <w:sz w:val="18"/>
              </w:rPr>
              <w:t>来源与许可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qwen2.5-vl-3b-ov-int4-npu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识图与视觉问答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2587 MB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hf-mirror（Qwen2.5-VL 许可）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flux1-schnell-int4-ov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文生图（主模型，FLUX.1-schnell）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8821 MB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hf-mirror，Apache-2.0（LCM Dreamshaper 已于 2026-10-05 删除）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patchcore-synth-v1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异常检测（自训练）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63 MB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本机训练，Apache-2.0 工具链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yolox-tiny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目标检测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49 MB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OpenVINO Model Zoo 镜像，Apache-2.0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yolox-tiny-src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导出用源码（含补丁）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&lt; 1 MB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Megvii YOLOX，Apache-2.0</w:t>
            </w:r>
          </w:p>
        </w:tc>
      </w:tr>
    </w:tbl>
    <w:p/>
    <w:p>
      <w:pPr>
        <w:pStyle w:val="Heading2"/>
      </w:pPr>
      <w:r>
        <w:t>6.3 Python 依赖（虚拟环境 D:\AI_file\envs\openvino）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260"/>
        <w:gridCol w:w="1771"/>
        <w:gridCol w:w="1339"/>
        <w:gridCol w:w="3124"/>
      </w:tblGrid>
      <w:tr>
        <w:tc>
          <w:tcPr>
            <w:tcW w:type="dxa" w:w="2261"/>
          </w:tcPr>
          <w:p>
            <w:r/>
            <w:r>
              <w:rPr>
                <w:b/>
                <w:sz w:val="18"/>
              </w:rPr>
              <w:t>包</w:t>
            </w:r>
          </w:p>
        </w:tc>
        <w:tc>
          <w:tcPr>
            <w:tcW w:type="dxa" w:w="1771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1339"/>
          </w:tcPr>
          <w:p>
            <w:r/>
            <w:r>
              <w:rPr>
                <w:b/>
                <w:sz w:val="18"/>
              </w:rPr>
              <w:t>包</w:t>
            </w:r>
          </w:p>
        </w:tc>
        <w:tc>
          <w:tcPr>
            <w:tcW w:type="dxa" w:w="3125"/>
          </w:tcPr>
          <w:p>
            <w:r/>
            <w:r>
              <w:rPr>
                <w:b/>
                <w:sz w:val="18"/>
              </w:rPr>
              <w:t>版本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3.12.10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rapidocr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3.9.2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openvino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2026.4.1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anomalib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2.6.2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openvino-genai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2026.4.1.0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lightning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2.6.6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openvino-tokenizers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2026.4.1.0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torch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2.14.1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numpy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2.4.6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torchvision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0.29.1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Pillow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12.3.0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timm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1.0.30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opencv-python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5.0.0.93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onnx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1.23.1</w:t>
            </w:r>
          </w:p>
        </w:tc>
      </w:tr>
      <w:tr>
        <w:tc>
          <w:tcPr>
            <w:tcW w:type="dxa" w:w="2261"/>
          </w:tcPr>
          <w:p>
            <w:r/>
            <w:r>
              <w:rPr>
                <w:sz w:val="17"/>
              </w:rPr>
              <w:t>transformers</w:t>
            </w:r>
          </w:p>
        </w:tc>
        <w:tc>
          <w:tcPr>
            <w:tcW w:type="dxa" w:w="1771"/>
          </w:tcPr>
          <w:p>
            <w:r/>
            <w:r>
              <w:rPr>
                <w:sz w:val="17"/>
              </w:rPr>
              <w:t>5.5.4</w:t>
            </w:r>
          </w:p>
        </w:tc>
        <w:tc>
          <w:tcPr>
            <w:tcW w:type="dxa" w:w="1339"/>
          </w:tcPr>
          <w:p>
            <w:r/>
            <w:r>
              <w:rPr>
                <w:sz w:val="17"/>
              </w:rPr>
              <w:t>pandas</w:t>
            </w:r>
          </w:p>
        </w:tc>
        <w:tc>
          <w:tcPr>
            <w:tcW w:type="dxa" w:w="3125"/>
          </w:tcPr>
          <w:p>
            <w:r/>
            <w:r>
              <w:rPr>
                <w:sz w:val="17"/>
              </w:rPr>
              <w:t>2.3.3（须 &lt;3，anomalib 2.6.2 不兼容 pandas 3）</w:t>
            </w:r>
          </w:p>
        </w:tc>
      </w:tr>
    </w:tbl>
    <w:p/>
    <w:p>
      <w:pPr>
        <w:pStyle w:val="Heading2"/>
      </w:pPr>
      <w:r>
        <w:t>6.4 本工具集写入系统其他位置的内容（就这两处）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476"/>
        <w:gridCol w:w="2548"/>
        <w:gridCol w:w="3470"/>
      </w:tblGrid>
      <w:tr>
        <w:tc>
          <w:tcPr>
            <w:tcW w:type="dxa" w:w="2477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2549"/>
          </w:tcPr>
          <w:p>
            <w:r/>
            <w:r>
              <w:rPr>
                <w:b/>
                <w:sz w:val="18"/>
              </w:rPr>
              <w:t>写入内容</w:t>
            </w:r>
          </w:p>
        </w:tc>
        <w:tc>
          <w:tcPr>
            <w:tcW w:type="dxa" w:w="347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C:\Users\&lt;用户&gt;\.dsh\profiles\desktop\cordis.patch.yml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一条 insert 补丁（id: mcp-vision）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注册 MCP 服务端（桌面端）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C:\Users\&lt;用户&gt;\.dsh\profiles\web\cordis.patch.yml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同上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注册 MCP 服务端（web profile）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C:\Users\&lt;用户&gt;\.dsh\AGENTS.md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规则 8“本地 AI 工具”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让所有工作区/对话都遵守工具规则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E:\Deepseek\AGENTS.md、policy\*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规则 7、策略与机器可读配置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工作区内的规则源与文档</w:t>
            </w:r>
          </w:p>
        </w:tc>
      </w:tr>
    </w:tbl>
    <w:p/>
    <w:p>
      <w:r>
        <w:t>除以上四处外，本工具集没有改注册表、没有装服务、没有开机自启、没有替换系统库；NPU 驱动是系统自带的，不属于本工具集。</w:t>
      </w:r>
    </w:p>
    <w:p>
      <w:pPr>
        <w:pStyle w:val="Heading1"/>
      </w:pPr>
      <w:r>
        <w:t>7. 如何完全卸载</w:t>
      </w:r>
    </w:p>
    <w:p>
      <w:r>
        <w:t>卸载分三步：先摘掉注册与规则（让 DSH 不再加载它），再删文件，最后验证。整个过程不需要管理员权限，也不会影响系统其他部分。</w:t>
      </w:r>
    </w:p>
    <w:p>
      <w:pPr>
        <w:pStyle w:val="Heading2"/>
      </w:pPr>
      <w:r>
        <w:t>第 1 步：移除 MCP 注册（必须最先做）</w:t>
      </w:r>
    </w:p>
    <w:p>
      <w:r>
        <w:t>编辑下面两个文件，删除其中以 - insert: 开头、id 为 mcp-vision 的整段（含其下所有缩进行）：</w:t>
      </w:r>
    </w:p>
    <w:p>
      <w:pPr>
        <w:spacing w:after="80"/>
        <w:ind w:left="280"/>
      </w:pPr>
      <w:r>
        <w:rPr>
          <w:rFonts w:ascii="Consolas" w:hAnsi="Consolas" w:eastAsia="Consolas"/>
          <w:color w:val="333333"/>
          <w:sz w:val="18"/>
        </w:rPr>
        <w:t>C:\Users\&lt;用户&gt;\.dsh\profiles\desktop\cordis.patch.yml</w:t>
        <w:br/>
        <w:t>C:\Users\&lt;用户&gt;\.dsh\profiles\web\cordis.patch.yml</w:t>
      </w:r>
    </w:p>
    <w:p>
      <w:r>
        <w:t>要删除的段落形如：</w:t>
      </w:r>
    </w:p>
    <w:p>
      <w:pPr>
        <w:spacing w:after="80"/>
        <w:ind w:left="280"/>
      </w:pPr>
      <w:r>
        <w:rPr>
          <w:rFonts w:ascii="Consolas" w:hAnsi="Consolas" w:eastAsia="Consolas"/>
          <w:color w:val="333333"/>
          <w:sz w:val="18"/>
        </w:rPr>
        <w:t>- insert:</w:t>
        <w:br/>
        <w:t xml:space="preserve">    - id: mcp-vision</w:t>
        <w:br/>
        <w:t xml:space="preserve">      name: "@deepseek-ai/dsh-mcp-client"</w:t>
        <w:br/>
        <w:t xml:space="preserve">      config:</w:t>
        <w:br/>
        <w:t xml:space="preserve">        serverName: vision</w:t>
        <w:br/>
        <w:t xml:space="preserve">        transport: stdio</w:t>
        <w:br/>
        <w:t xml:space="preserve">        command: D:/AI_file/envs/openvino/Scripts/python.exe</w:t>
        <w:br/>
        <w:t xml:space="preserve">        args: [ D:/AI_file/mcp/vision-server.py ]</w:t>
      </w:r>
    </w:p>
    <w:p>
      <w:r>
        <w:t>验证（应看不到 mcp-vision，且没有 patch 报错）：</w:t>
      </w:r>
    </w:p>
    <w:p>
      <w:pPr>
        <w:spacing w:after="80"/>
        <w:ind w:left="280"/>
      </w:pPr>
      <w:r>
        <w:rPr>
          <w:rFonts w:ascii="Consolas" w:hAnsi="Consolas" w:eastAsia="Consolas"/>
          <w:color w:val="333333"/>
          <w:sz w:val="18"/>
        </w:rPr>
        <w:t>dsh --profile web --dump-config | Select-String 'mcp-vision'</w:t>
      </w:r>
    </w:p>
    <w:p>
      <w:pPr>
        <w:pStyle w:val="Heading2"/>
      </w:pPr>
      <w:r>
        <w:t>第 2 步：移除指令规则</w:t>
      </w:r>
    </w:p>
    <w:p>
      <w:r>
        <w:t>删除工作区 E:\Deepseek\AGENTS.md 的“规则 7 · AI 工具调用”，以及 C:\Users\&lt;用户&gt;\.dsh\AGENTS.md 的“规则 8 · 本地 AI 工具”。</w:t>
      </w:r>
    </w:p>
    <w:p>
      <w:r>
        <w:t>如果只想停用而不删文件，把策略文件改名即可（例如 ai-tools.json → ai-tools.json.off），规则文档仍可留作参考。</w:t>
      </w:r>
    </w:p>
    <w:p>
      <w:pPr>
        <w:pStyle w:val="Heading2"/>
      </w:pPr>
      <w:r>
        <w:t>第 3 步：删除文件（约 14 GB）</w:t>
      </w:r>
    </w:p>
    <w:p>
      <w:r>
        <w:t>先确认没有残留进程占用（正在跑的会话会锁住模型文件）：</w:t>
      </w:r>
    </w:p>
    <w:p>
      <w:pPr>
        <w:spacing w:after="80"/>
        <w:ind w:left="280"/>
      </w:pPr>
      <w:r>
        <w:rPr>
          <w:rFonts w:ascii="Consolas" w:hAnsi="Consolas" w:eastAsia="Consolas"/>
          <w:color w:val="333333"/>
          <w:sz w:val="18"/>
        </w:rPr>
        <w:t>Get-Process | Where-Object { $_.Path -like 'D:\AI_file\*' } | Stop-Process -Force</w:t>
      </w:r>
    </w:p>
    <w:p>
      <w:r>
        <w:t>确认要删的绝对路径无误后，再删除（此操作不可恢复）：</w:t>
      </w:r>
    </w:p>
    <w:p>
      <w:pPr>
        <w:spacing w:after="80"/>
        <w:ind w:left="280"/>
      </w:pPr>
      <w:r>
        <w:rPr>
          <w:rFonts w:ascii="Consolas" w:hAnsi="Consolas" w:eastAsia="Consolas"/>
          <w:color w:val="333333"/>
          <w:sz w:val="18"/>
        </w:rPr>
        <w:t>Test-Path 'D:\AI_file'          # 先确认路径存在</w:t>
        <w:br/>
        <w:t>Remove-Item -LiteralPath 'D:\AI_file' -Recurse -Force</w:t>
      </w:r>
    </w:p>
    <w:p>
      <w:r>
        <w:t>如果只想回收空间、保留工具，可以只删缓存与中间产物（约 7 GB，工具仍可用，首次调用会重新编译模型、略慢）：</w:t>
      </w:r>
    </w:p>
    <w:p>
      <w:pPr>
        <w:spacing w:after="80"/>
        <w:ind w:left="280"/>
      </w:pPr>
      <w:r>
        <w:rPr>
          <w:rFonts w:ascii="Consolas" w:hAnsi="Consolas" w:eastAsia="Consolas"/>
          <w:color w:val="333333"/>
          <w:sz w:val="18"/>
        </w:rPr>
        <w:t>Remove-Item -LiteralPath 'D:\AI_file\_caches' -Recurse -Force</w:t>
        <w:br/>
        <w:t>Remove-Item -LiteralPath 'D:\AI_file\workspace' -Recurse -Force</w:t>
        <w:br/>
        <w:t>Remove-Item -LiteralPath 'D:\AI_file\_downloads' -Recurse -Force</w:t>
      </w:r>
    </w:p>
    <w:p>
      <w:pPr>
        <w:pStyle w:val="Heading2"/>
      </w:pPr>
      <w:r>
        <w:t>第 4 步：验证卸载干净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476"/>
        <w:gridCol w:w="2548"/>
        <w:gridCol w:w="3470"/>
      </w:tblGrid>
      <w:tr>
        <w:tc>
          <w:tcPr>
            <w:tcW w:type="dxa" w:w="2477"/>
          </w:tcPr>
          <w:p>
            <w:r/>
            <w:r>
              <w:rPr>
                <w:b/>
                <w:sz w:val="18"/>
              </w:rPr>
              <w:t>检查</w:t>
            </w:r>
          </w:p>
        </w:tc>
        <w:tc>
          <w:tcPr>
            <w:tcW w:type="dxa" w:w="2549"/>
          </w:tcPr>
          <w:p>
            <w:r/>
            <w:r>
              <w:rPr>
                <w:b/>
                <w:sz w:val="18"/>
              </w:rPr>
              <w:t>命令</w:t>
            </w:r>
          </w:p>
        </w:tc>
        <w:tc>
          <w:tcPr>
            <w:tcW w:type="dxa" w:w="3470"/>
          </w:tcPr>
          <w:p>
            <w:r/>
            <w:r>
              <w:rPr>
                <w:b/>
                <w:sz w:val="18"/>
              </w:rPr>
              <w:t>期望结果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注册已移除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dsh --profile web --dump-config | Select-String mcp-vision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无输出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文件已删除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Test-Path 'D:\AI_file'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无残留进程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Get-Process python -ErrorAction SilentlyContinue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无 D:\AI_file 下的进程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工具列表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新开一个对话，查看可用工具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不再出现 mcp__vision__* 与 mcp__vision__anomaly_score 等</w:t>
            </w:r>
          </w:p>
        </w:tc>
      </w:tr>
    </w:tbl>
    <w:p/>
    <w:p>
      <w:r>
        <w:t>说明：D:\program_runtime_environment（通用运行时目录）与 %DSH_HOME%\attachments（图片规范化缓存）不属于本工具集，可按需另行清理。</w:t>
      </w:r>
    </w:p>
    <w:p>
      <w:pPr>
        <w:pStyle w:val="Heading1"/>
      </w:pPr>
      <w:r>
        <w:t>8. 重新安装（可复现）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059"/>
        <w:gridCol w:w="6436"/>
      </w:tblGrid>
      <w:tr>
        <w:tc>
          <w:tcPr>
            <w:tcW w:type="dxa" w:w="2059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6437"/>
          </w:tcPr>
          <w:p>
            <w:r/>
            <w:r>
              <w:rPr>
                <w:b/>
                <w:sz w:val="18"/>
              </w:rPr>
              <w:t>关键内容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1. 运行时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Python 3.12.10 装到 D:\AI_file\runtime\python\3.12.10；MinGit 到 tools\git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2. 虚拟环境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python -m venv D:\AI_file\envs\openvino，安装 openvino、openvino-genai、rapidocr、anomalib、onnx 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3. 模型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Qwen2.5-VL-3B INT4（NPU 识图）、FLUX.1-schnell int4（Apache-2.0，文生图）、YOLOX-Tiny（自动导出 IR）、PatchCore（本地训练）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4. 服务端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D:\AI_file\mcp\vision-server.py（v1.7.0，8 个工具）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5. 注册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在两个 profile 的 cordis.patch.yml 里加 insert 补丁（见 6.4）</w:t>
            </w:r>
          </w:p>
        </w:tc>
      </w:tr>
      <w:tr>
        <w:tc>
          <w:tcPr>
            <w:tcW w:type="dxa" w:w="2059"/>
          </w:tcPr>
          <w:p>
            <w:r/>
            <w:r>
              <w:rPr>
                <w:sz w:val="17"/>
              </w:rPr>
              <w:t>6. 规则</w:t>
            </w:r>
          </w:p>
        </w:tc>
        <w:tc>
          <w:tcPr>
            <w:tcW w:type="dxa" w:w="6437"/>
          </w:tcPr>
          <w:p>
            <w:r/>
            <w:r>
              <w:rPr>
                <w:sz w:val="17"/>
              </w:rPr>
              <w:t>部署 policy\ai-tool-policy.md 与 AGENTS.md 规则，运行 tools\Install-GlobalPolicy.ps1</w:t>
            </w:r>
          </w:p>
        </w:tc>
      </w:tr>
    </w:tbl>
    <w:p/>
    <w:p>
      <w:r>
        <w:t>下载源提示（本机实测）：模型从 hf-mirror.com 取，单文件多连接可达约 1.8 MB/s；OpenVINO Model Zoo 的预转换 IR 已下线，检测模型需按官方配方自行导出。</w:t>
      </w:r>
    </w:p>
    <w:p>
      <w:pPr>
        <w:pStyle w:val="Heading1"/>
      </w:pPr>
      <w:r>
        <w:t>9. 已知限制</w:t>
      </w:r>
    </w:p>
    <w:p>
      <w:pPr>
        <w:pStyle w:val="ListBullet"/>
      </w:pPr>
      <w:r>
        <w:t>NPU 单次视觉输入上限 1024 token（约 80 万像素）：大图会被降采样，细节需先裁区域。</w:t>
      </w:r>
    </w:p>
    <w:p>
      <w:pPr>
        <w:pStyle w:val="ListBullet"/>
      </w:pPr>
      <w:r>
        <w:t>视觉语言模型会“幻觉”：实测把 CH634 说成 CH63034；数字与型号一律以 OCR/文字层为准。</w:t>
      </w:r>
    </w:p>
    <w:p>
      <w:pPr>
        <w:pStyle w:val="ListBullet"/>
      </w:pPr>
      <w:r>
        <w:t>YOLOX-Tiny 在 416 分辨率下框的位置稳定，但类别会错（扭蛋机被识别成 suitcase）。</w:t>
      </w:r>
    </w:p>
    <w:p>
      <w:pPr>
        <w:pStyle w:val="ListBullet"/>
      </w:pPr>
      <w:r>
        <w:t>PatchCore 异常检测只在训练分布内可靠，换产品必须用新的良品样本重训（秒级）。</w:t>
      </w:r>
    </w:p>
    <w:p>
      <w:pPr>
        <w:pStyle w:val="ListBullet"/>
      </w:pPr>
      <w:r>
        <w:t>FLUX.1-schnell 文生图：4 步、不用 CFG（guidance 必须显式传 0.0，否则库默认 7.5 会毁掉画质）；首次调用含编译约 30–50 s；画面内文字仍不可靠；生成内容属于合成数据。</w:t>
      </w:r>
    </w:p>
    <w:p>
      <w:pPr>
        <w:pStyle w:val="ListBullet"/>
      </w:pPr>
      <w:r>
        <w:t>PP-OCR 走 CPU（上游写死），当前 1–4 s/页；如需上 NPU 需要给上游打补丁。</w:t>
      </w:r>
    </w:p>
    <w:p>
      <w:pPr>
        <w:pStyle w:val="Heading1"/>
      </w:pPr>
      <w:r>
        <w:t>10. 版本记录</w:t>
      </w: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2476"/>
        <w:gridCol w:w="2548"/>
        <w:gridCol w:w="3470"/>
      </w:tblGrid>
      <w:tr>
        <w:tc>
          <w:tcPr>
            <w:tcW w:type="dxa" w:w="2477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2549"/>
          </w:tcPr>
          <w:p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3470"/>
          </w:tcPr>
          <w:p>
            <w:r/>
            <w:r>
              <w:rPr>
                <w:b/>
                <w:sz w:val="18"/>
              </w:rPr>
              <w:t>变更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1.0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2026-10-04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首版：8 个工具全部落地；规则整合（路由、可信度、硬限制、硬件寿命）；文件清单与卸载指南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1.1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2026-10-04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新增：强制中文思考；image_generate 生图时间预算（§4.4，默认 1 张 / 上限 4 张 / 审查≤1 次 / ≤30 s），并写入工具契约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1.3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2026-10-04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删除已弃用的 LCM Dreamshaper 模型（回收 2040 MB）；同步工具集总量（约 20.3 GB）与模型清单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1.4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2026-10-04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新增 §4.5 模型变更后的运维规则（源于 2026-10-05 生图故障复盘）：改配置必须重启服务端并用 vision_status 自检；同步策略 §12、机器可读 maintenance 字段与两份注入指令</w:t>
            </w:r>
          </w:p>
        </w:tc>
      </w:tr>
      <w:tr>
        <w:tc>
          <w:tcPr>
            <w:tcW w:type="dxa" w:w="2477"/>
          </w:tcPr>
          <w:p>
            <w:r/>
            <w:r>
              <w:rPr>
                <w:sz w:val="17"/>
              </w:rPr>
              <w:t>1.2</w:t>
            </w:r>
          </w:p>
        </w:tc>
        <w:tc>
          <w:tcPr>
            <w:tcW w:type="dxa" w:w="2549"/>
          </w:tcPr>
          <w:p>
            <w:r/>
            <w:r>
              <w:rPr>
                <w:sz w:val="17"/>
              </w:rPr>
              <w:t>2026-10-04</w:t>
            </w:r>
          </w:p>
        </w:tc>
        <w:tc>
          <w:tcPr>
            <w:tcW w:type="dxa" w:w="3470"/>
          </w:tcPr>
          <w:p>
            <w:r/>
            <w:r>
              <w:rPr>
                <w:sz w:val="17"/>
              </w:rPr>
              <w:t>生图模型由 LCM Dreamshaper（1.07 B，MIT）更换为 FLUX.1-schnell int4（Apache-2.0）：1024²／4 步／不用 CFG，热态 13.2 s、冷态 17.4 s、加载 26–31 s；实测画质与提示词服从度显著提升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