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80" w:after="80"/>
        <w:jc w:val="center"/>
      </w:pPr>
      <w:r>
        <w:rPr>
          <w:rFonts w:ascii="Arial" w:cs="Arial" w:eastAsia="Arial" w:hAnsi="Arial"/>
          <w:b w:val="false"/>
          <w:bCs w:val="false"/>
          <w:color w:val="555555"/>
          <w:sz w:val="20"/>
          <w:szCs w:val="20"/>
        </w:rPr>
        <w:t xml:space="preserve">INTERNATIONAL JOURNAL OF SUPPLY CHAIN ANALYTICS</w:t>
      </w:r>
    </w:p>
    <w:p>
      <w:pPr>
        <w:spacing w:before="80" w:after="80"/>
        <w:jc w:val="center"/>
      </w:pPr>
      <w:r>
        <w:rPr>
          <w:rFonts w:ascii="Arial" w:cs="Arial" w:eastAsia="Arial" w:hAnsi="Arial"/>
          <w:b w:val="false"/>
          <w:bCs w:val="false"/>
          <w:color w:val="777777"/>
          <w:sz w:val="18"/>
          <w:szCs w:val="18"/>
        </w:rPr>
        <w:t xml:space="preserve">Volume 12, Issue 3, 2024 | ISSN: 2754-8821 (Online)</w:t>
      </w:r>
    </w:p>
    <w:p>
      <w:r>
        <w:t xml:space="preserve"/>
      </w:r>
    </w:p>
    <w:p>
      <w:pPr>
        <w:pBdr>
          <w:top w:val="thick" w:color="1F3864" w:sz="12" w:space="1"/>
          <w:bottom w:val="thick" w:color="1F3864" w:sz="12" w:space="1"/>
        </w:pBdr>
        <w:spacing w:before="200" w:after="200"/>
        <w:jc w:val="center"/>
      </w:pPr>
      <w:r>
        <w:rPr>
          <w:rFonts w:ascii="Arial" w:cs="Arial" w:eastAsia="Arial" w:hAnsi="Arial"/>
          <w:b/>
          <w:bCs/>
          <w:color w:val="1F3864"/>
          <w:sz w:val="40"/>
          <w:szCs w:val="40"/>
        </w:rPr>
        <w:br/>
        <w:t xml:space="preserve">From Revenue to Profitability:</w:t>
      </w:r>
      <w:r>
        <w:rPr>
          <w:rFonts w:ascii="Arial" w:cs="Arial" w:eastAsia="Arial" w:hAnsi="Arial"/>
          <w:b/>
          <w:bCs/>
          <w:color w:val="1F3864"/>
          <w:sz w:val="36"/>
          <w:szCs w:val="36"/>
        </w:rPr>
        <w:br/>
        <w:t xml:space="preserve">A Data-Driven Framework for Customer, Product, and</w:t>
      </w:r>
      <w:r>
        <w:rPr>
          <w:rFonts w:ascii="Arial" w:cs="Arial" w:eastAsia="Arial" w:hAnsi="Arial"/>
          <w:b/>
          <w:bCs/>
          <w:color w:val="1F3864"/>
          <w:sz w:val="36"/>
          <w:szCs w:val="36"/>
        </w:rPr>
        <w:br/>
        <w:t xml:space="preserve">Margin Performance Analysis in Global Logistics Operations</w:t>
      </w:r>
    </w:p>
    <w:p>
      <w:r>
        <w:t xml:space="preserve"/>
      </w:r>
    </w:p>
    <w:p>
      <w:pPr>
        <w:spacing w:before="80" w:after="80"/>
        <w:jc w:val="center"/>
      </w:pPr>
      <w:r>
        <w:rPr>
          <w:rFonts w:ascii="Arial" w:cs="Arial" w:eastAsia="Arial" w:hAnsi="Arial"/>
          <w:b w:val="false"/>
          <w:bCs w:val="false"/>
          <w:color w:val="666666"/>
          <w:sz w:val="18"/>
          <w:szCs w:val="18"/>
        </w:rPr>
        <w:t xml:space="preserve">Research Article | Received: September 2024 | Accepted: November 2024 | Published: December 2024</w:t>
      </w:r>
    </w:p>
    <w:p>
      <w:r>
        <w:t xml:space="preserve"/>
      </w:r>
    </w:p>
    <w:p>
      <w:pPr>
        <w:spacing w:before="80" w:after="80"/>
        <w:jc w:val="center"/>
      </w:pPr>
      <w:r>
        <w:rPr>
          <w:rFonts w:ascii="Arial" w:cs="Arial" w:eastAsia="Arial" w:hAnsi="Arial"/>
          <w:b/>
          <w:bCs/>
          <w:color w:val="1F3864"/>
          <w:sz w:val="22"/>
          <w:szCs w:val="22"/>
        </w:rPr>
        <w:t xml:space="preserve">Authors:</w:t>
      </w:r>
    </w:p>
    <w:p>
      <w:pPr>
        <w:spacing w:before="80" w:after="80"/>
        <w:jc w:val="center"/>
      </w:pPr>
      <w:r>
        <w:rPr>
          <w:rFonts w:ascii="Arial" w:cs="Arial" w:eastAsia="Arial" w:hAnsi="Arial"/>
          <w:b w:val="false"/>
          <w:bCs w:val="false"/>
          <w:color w:val="333333"/>
          <w:sz w:val="22"/>
          <w:szCs w:val="22"/>
        </w:rPr>
        <w:t xml:space="preserve">Analytics Research Division, APL Logistics / KWE Group</w:t>
      </w:r>
    </w:p>
    <w:p>
      <w:pPr>
        <w:spacing w:before="80" w:after="80"/>
        <w:jc w:val="center"/>
      </w:pPr>
      <w:r>
        <w:rPr>
          <w:rFonts w:ascii="Arial" w:cs="Arial" w:eastAsia="Arial" w:hAnsi="Arial"/>
          <w:b w:val="false"/>
          <w:bCs w:val="false"/>
          <w:color w:val="333333"/>
          <w:sz w:val="22"/>
          <w:szCs w:val="22"/>
        </w:rPr>
        <w:t xml:space="preserve">Supply Chain Intelligence Unit, Operations Research Centre</w:t>
      </w:r>
    </w:p>
    <w:p>
      <w:r>
        <w:t xml:space="preserve"/>
      </w:r>
    </w:p>
    <w:p>
      <w:pPr>
        <w:spacing w:before="80" w:after="80"/>
        <w:jc w:val="center"/>
      </w:pPr>
      <w:r>
        <w:rPr>
          <w:rFonts w:ascii="Arial" w:cs="Arial" w:eastAsia="Arial" w:hAnsi="Arial"/>
          <w:b w:val="false"/>
          <w:bCs w:val="false"/>
          <w:color w:val="2E74B5"/>
          <w:sz w:val="20"/>
          <w:szCs w:val="20"/>
        </w:rPr>
        <w:t xml:space="preserve">Correspondence: analytics@apllogistics-research.net</w:t>
      </w:r>
    </w:p>
    <w:p>
      <w:r>
        <w:t xml:space="preserve"/>
      </w:r>
    </w:p>
    <w:p>
      <w:r>
        <w:t xml:space="preserve"/>
      </w:r>
    </w:p>
    <w:p>
      <w:pPr>
        <w:pBdr>
          <w:top w:val="single" w:color="1F3864" w:sz="2" w:space="1"/>
          <w:bottom w:val="single" w:color="1F3864" w:sz="2" w:space="1"/>
        </w:pBdr>
        <w:shd w:fill="F0F4FA" w:val="clear"/>
        <w:spacing w:before="200" w:after="200"/>
      </w:pPr>
      <w:r>
        <w:rPr>
          <w:rFonts w:ascii="Arial" w:cs="Arial" w:eastAsia="Arial" w:hAnsi="Arial"/>
          <w:b/>
          <w:bCs/>
          <w:color w:val="1F3864"/>
          <w:sz w:val="24"/>
          <w:szCs w:val="24"/>
        </w:rPr>
        <w:t xml:space="preserve">ABSTRACT</w:t>
      </w:r>
      <w:r>
        <w:rPr>
          <w:sz w:val="12"/>
          <w:szCs w:val="12"/>
        </w:rPr>
        <w:t xml:space="preserve">
</w:t>
      </w:r>
      <w:r>
        <w:rPr>
          <w:rFonts w:ascii="Arial" w:cs="Arial" w:eastAsia="Arial" w:hAnsi="Arial"/>
          <w:sz w:val="21"/>
          <w:szCs w:val="21"/>
        </w:rPr>
        <w:t xml:space="preserve">Background and Objectives: Global logistics enterprises routinely track revenue performance metrics while overlooking the structural determinants of profitability. This research investigates a fundamental misalignment observed at APL Logistics (KWE Group): the disconnect between sales volume and actual margin generation. The primary objectives of this study are threefold — (i) to characterise the distribution of profitability across customers, products, and geographic markets; (ii) to quantify the margin erosion attributable to discount practices and shipping cost structures; and (iii) to develop an operational intelligence framework that enables strategic differentiation between value-generating and value-destroying business segments.</w:t>
      </w:r>
      <w:r>
        <w:rPr>
          <w:rFonts w:ascii="Arial" w:cs="Arial" w:eastAsia="Arial" w:hAnsi="Arial"/>
          <w:sz w:val="21"/>
          <w:szCs w:val="21"/>
        </w:rPr>
        <w:t xml:space="preserve">
Methods: A structured analytical pipeline was applied to a transactional dataset of 180,519 order records spanning five global markets. The methodology encompassed data cleaning and feature engineering (43 derived variables), exploratory statistical analysis, customer value tier classification, discount impact modelling using Pearson correlation and segmentation, and profitability decomposition at the customer, product, category, and market levels.</w:t>
      </w:r>
      <w:r>
        <w:rPr>
          <w:rFonts w:ascii="Arial" w:cs="Arial" w:eastAsia="Arial" w:hAnsi="Arial"/>
          <w:sz w:val="21"/>
          <w:szCs w:val="21"/>
        </w:rPr>
        <w:t xml:space="preserve">
Key Findings: Total enterprise revenue of $36.78 million yields a net profit of $4.58 million, representing an overall margin of 12.45%. Notably, 18.7% of all orders (33,784 transactions) are classified as loss-making, while the top 10% of customers account for over 42% of total profit. Discount rates above 15% are associated with a 25.8% reduction in average margin relative to non-discounted transactions. First Class shipping mode exhibits the highest margin (12.86%) despite its cost premium, attributable to its correlation with high-value orders. The Fishing category leads profitability with a 13.99% margin, while Shop By Sport exhibits the weakest margin at 10.24%. USCA and Africa markets achieve the highest margins (12.72% and 12.67% respectively) despite lower revenue volumes, revealing a strategic misallocation of resources toward high-revenue but margin-diluting markets.</w:t>
      </w:r>
      <w:r>
        <w:rPr>
          <w:rFonts w:ascii="Arial" w:cs="Arial" w:eastAsia="Arial" w:hAnsi="Arial"/>
          <w:sz w:val="21"/>
          <w:szCs w:val="21"/>
        </w:rPr>
        <w:t xml:space="preserve">
Conclusions: This research establishes that revenue-centric operational strategies without accompanying margin management mechanisms result in systematic profit underperformance. The proposed Customer-Product-Market (CPM) profitability framework, supported by an interactive Streamlit analytics dashboard, provides actionable intelligence for pricing optimisation, customer retention prioritisation, and category portfolio rationalisation.</w:t>
      </w:r>
      <w:r>
        <w:rPr>
          <w:rFonts w:ascii="Arial" w:cs="Arial" w:eastAsia="Arial" w:hAnsi="Arial"/>
          <w:sz w:val="21"/>
          <w:szCs w:val="21"/>
        </w:rPr>
        <w:t xml:space="preserve">
Keywords: supply chain profitability, margin analytics, discount impact, customer value segmentation, logistics intelligence, revenue optimisation, APL Logistics</w:t>
      </w:r>
    </w:p>
    <w:p>
      <w:r>
        <w:t xml:space="preserve"/>
      </w:r>
    </w:p>
    <w:p>
      <w:r>
        <w:br w:type="page"/>
      </w:r>
    </w:p>
    <w:p>
      <w:pPr>
        <w:pStyle w:val="Heading1"/>
        <w:spacing w:before="360" w:after="180"/>
      </w:pPr>
      <w:r>
        <w:rPr>
          <w:rFonts w:ascii="Arial" w:cs="Arial" w:eastAsia="Arial" w:hAnsi="Arial"/>
          <w:b/>
          <w:bCs/>
          <w:color w:val="1F3864"/>
          <w:sz w:val="32"/>
          <w:szCs w:val="32"/>
        </w:rPr>
        <w:t xml:space="preserve">1. Introduction</w:t>
      </w:r>
    </w:p>
    <w:p>
      <w:pPr>
        <w:pStyle w:val="Heading2"/>
        <w:spacing w:before="240" w:after="120"/>
      </w:pPr>
      <w:r>
        <w:rPr>
          <w:rFonts w:ascii="Arial" w:cs="Arial" w:eastAsia="Arial" w:hAnsi="Arial"/>
          <w:b/>
          <w:bCs/>
          <w:color w:val="2E74B5"/>
          <w:sz w:val="26"/>
          <w:szCs w:val="26"/>
        </w:rPr>
        <w:t xml:space="preserve">1.1 Background and Motivation</w:t>
      </w:r>
    </w:p>
    <w:p>
      <w:pPr>
        <w:spacing w:before="100" w:after="100" w:line="276"/>
        <w:jc w:val="both"/>
      </w:pPr>
      <w:r>
        <w:rPr>
          <w:rFonts w:ascii="Arial" w:cs="Arial" w:eastAsia="Arial" w:hAnsi="Arial"/>
          <w:sz w:val="22"/>
          <w:szCs w:val="22"/>
        </w:rPr>
        <w:t xml:space="preserve">The global logistics industry operates within an environment characterised by thin margins, intense competitive pressure, and growing customer expectations for service quality. According to Armstrong &amp; Associates (2023), the top 50 global third-party logistics (3PL) providers collectively manage revenues exceeding $500 billion annually, yet average net margins in the sector hover between 3% and 8% — significantly below the cross-industry mean. Within this context, the ability to distinguish between revenue generation and genuine profit creation constitutes a critical operational capability that separates market leaders from average performers.</w:t>
      </w:r>
    </w:p>
    <w:p>
      <w:pPr>
        <w:spacing w:before="100" w:after="100" w:line="276"/>
        <w:jc w:val="both"/>
      </w:pPr>
      <w:r>
        <w:rPr>
          <w:rFonts w:ascii="Arial" w:cs="Arial" w:eastAsia="Arial" w:hAnsi="Arial"/>
          <w:sz w:val="22"/>
          <w:szCs w:val="22"/>
        </w:rPr>
        <w:t xml:space="preserve">APL Logistics, operating under the KWE Group umbrella, serves diverse customer segments across five major global markets: LATAM, Europe, Pacific Asia, USCA, and Africa. While the organisation maintains sophisticated operational systems for tracking shipment volumes, delivery performance, and order fulfilment, there exists a conspicuous gap in its commercial intelligence infrastructure: a systematic framework for profitability attribution at the customer, product, and market levels.</w:t>
      </w:r>
    </w:p>
    <w:p>
      <w:pPr>
        <w:spacing w:before="100" w:after="100" w:line="276"/>
        <w:jc w:val="both"/>
      </w:pPr>
      <w:r>
        <w:rPr>
          <w:rFonts w:ascii="Arial" w:cs="Arial" w:eastAsia="Arial" w:hAnsi="Arial"/>
          <w:sz w:val="22"/>
          <w:szCs w:val="22"/>
        </w:rPr>
        <w:t xml:space="preserve">The consequences of this analytical gap are significant. Pricing decisions made without granular margin visibility risk subsidising unprofitable customer relationships through hidden cross-subsidies. Discount policies applied uniformly across product categories fail to account for differential price elasticity and baseline margin structures. Market expansion decisions driven by revenue metrics alone may inadvertently channel strategic resources toward geographies or segments that generate volume at the cost of profit. These dynamics collectively produce what Kaplan and Anderson (2007) termed 'profit fog' — an organisational condition where aggregated financial results obscure the underlying distribution of value creation and destruction.</w:t>
      </w:r>
    </w:p>
    <w:p>
      <w:pPr>
        <w:pStyle w:val="Heading2"/>
        <w:spacing w:before="240" w:after="120"/>
      </w:pPr>
      <w:r>
        <w:rPr>
          <w:rFonts w:ascii="Arial" w:cs="Arial" w:eastAsia="Arial" w:hAnsi="Arial"/>
          <w:b/>
          <w:bCs/>
          <w:color w:val="2E74B5"/>
          <w:sz w:val="26"/>
          <w:szCs w:val="26"/>
        </w:rPr>
        <w:t xml:space="preserve">1.2 Research Objectives</w:t>
      </w:r>
    </w:p>
    <w:p>
      <w:pPr>
        <w:spacing w:before="100" w:after="100" w:line="276"/>
        <w:jc w:val="both"/>
      </w:pPr>
      <w:r>
        <w:rPr>
          <w:rFonts w:ascii="Arial" w:cs="Arial" w:eastAsia="Arial" w:hAnsi="Arial"/>
          <w:sz w:val="22"/>
          <w:szCs w:val="22"/>
        </w:rPr>
        <w:t xml:space="preserve">This study is structured around four primary research objectives, each designed to address a distinct dimension of the profitability intelligence gap:</w:t>
      </w:r>
    </w:p>
    <w:p>
      <w:pPr>
        <w:pStyle w:val="ListParagraph"/>
        <w:numPr>
          <w:ilvl w:val="0"/>
          <w:numId w:val="2"/>
        </w:numPr>
        <w:spacing w:before="60" w:after="60"/>
      </w:pPr>
      <w:r>
        <w:rPr>
          <w:rFonts w:ascii="Arial" w:cs="Arial" w:eastAsia="Arial" w:hAnsi="Arial"/>
          <w:sz w:val="22"/>
          <w:szCs w:val="22"/>
        </w:rPr>
        <w:t xml:space="preserve">To develop a systematic data transformation and feature engineering pipeline that converts raw transactional logistics data into analytically rich, margin-aware indicators.</w:t>
      </w:r>
    </w:p>
    <w:p>
      <w:pPr>
        <w:pStyle w:val="ListParagraph"/>
        <w:numPr>
          <w:ilvl w:val="0"/>
          <w:numId w:val="2"/>
        </w:numPr>
        <w:spacing w:before="60" w:after="60"/>
      </w:pPr>
      <w:r>
        <w:rPr>
          <w:rFonts w:ascii="Arial" w:cs="Arial" w:eastAsia="Arial" w:hAnsi="Arial"/>
          <w:sz w:val="22"/>
          <w:szCs w:val="22"/>
        </w:rPr>
        <w:t xml:space="preserve">To characterise the distribution of profitability across customers, product categories, and geographic markets, identifying structural patterns of value concentration and dilution.</w:t>
      </w:r>
    </w:p>
    <w:p>
      <w:pPr>
        <w:pStyle w:val="ListParagraph"/>
        <w:numPr>
          <w:ilvl w:val="0"/>
          <w:numId w:val="2"/>
        </w:numPr>
        <w:spacing w:before="60" w:after="60"/>
      </w:pPr>
      <w:r>
        <w:rPr>
          <w:rFonts w:ascii="Arial" w:cs="Arial" w:eastAsia="Arial" w:hAnsi="Arial"/>
          <w:sz w:val="22"/>
          <w:szCs w:val="22"/>
        </w:rPr>
        <w:t xml:space="preserve">To quantify the specific contribution of discount practices to margin erosion, establishing empirically grounded discount thresholds beyond which profitability is systematically compromised.</w:t>
      </w:r>
    </w:p>
    <w:p>
      <w:pPr>
        <w:pStyle w:val="ListParagraph"/>
        <w:numPr>
          <w:ilvl w:val="0"/>
          <w:numId w:val="2"/>
        </w:numPr>
        <w:spacing w:before="60" w:after="60"/>
      </w:pPr>
      <w:r>
        <w:rPr>
          <w:rFonts w:ascii="Arial" w:cs="Arial" w:eastAsia="Arial" w:hAnsi="Arial"/>
          <w:sz w:val="22"/>
          <w:szCs w:val="22"/>
        </w:rPr>
        <w:t xml:space="preserve">To construct an interactive, real-time analytics dashboard that translates analytical findings into operational decision-support capabilities accessible to logistics managers.</w:t>
      </w:r>
    </w:p>
    <w:p>
      <w:r>
        <w:t xml:space="preserve"/>
      </w:r>
    </w:p>
    <w:p>
      <w:pPr>
        <w:pStyle w:val="Heading2"/>
        <w:spacing w:before="240" w:after="120"/>
      </w:pPr>
      <w:r>
        <w:rPr>
          <w:rFonts w:ascii="Arial" w:cs="Arial" w:eastAsia="Arial" w:hAnsi="Arial"/>
          <w:b/>
          <w:bCs/>
          <w:color w:val="2E74B5"/>
          <w:sz w:val="26"/>
          <w:szCs w:val="26"/>
        </w:rPr>
        <w:t xml:space="preserve">1.3 Significance and Contribution</w:t>
      </w:r>
    </w:p>
    <w:p>
      <w:pPr>
        <w:spacing w:before="100" w:after="100" w:line="276"/>
        <w:jc w:val="both"/>
      </w:pPr>
      <w:r>
        <w:rPr>
          <w:rFonts w:ascii="Arial" w:cs="Arial" w:eastAsia="Arial" w:hAnsi="Arial"/>
          <w:sz w:val="22"/>
          <w:szCs w:val="22"/>
        </w:rPr>
        <w:t xml:space="preserve">This research makes several contributions to the intersection of logistics operations management and supply chain analytics. First, it demonstrates the application of multi-level profitability decomposition — encompassing customer, product, and market dimensions simultaneously — to a real-world logistics dataset at enterprise scale (180,519 transactions). Second, it introduces the margin erosion risk score as a composite operational indicator that integrates discount intensity, late delivery risk, and order cancellation probability into a single actionable metric. Third, it provides the logistics community with a reproducible analytical framework, implemented in Python and deployed as an interactive Streamlit application, that can be adapted to comparable operational contexts across the 3PL sector.</w:t>
      </w:r>
    </w:p>
    <w:p>
      <w:pPr>
        <w:pStyle w:val="Heading2"/>
        <w:spacing w:before="240" w:after="120"/>
      </w:pPr>
      <w:r>
        <w:rPr>
          <w:rFonts w:ascii="Arial" w:cs="Arial" w:eastAsia="Arial" w:hAnsi="Arial"/>
          <w:b/>
          <w:bCs/>
          <w:color w:val="2E74B5"/>
          <w:sz w:val="26"/>
          <w:szCs w:val="26"/>
        </w:rPr>
        <w:t xml:space="preserve">1.4 Paper Structure</w:t>
      </w:r>
    </w:p>
    <w:p>
      <w:pPr>
        <w:spacing w:before="100" w:after="100" w:line="276"/>
        <w:jc w:val="both"/>
      </w:pPr>
      <w:r>
        <w:rPr>
          <w:rFonts w:ascii="Arial" w:cs="Arial" w:eastAsia="Arial" w:hAnsi="Arial"/>
          <w:sz w:val="22"/>
          <w:szCs w:val="22"/>
        </w:rPr>
        <w:t xml:space="preserve">The remainder of this paper is organised as follows. Section 2 reviews the theoretical and empirical literature on supply chain profitability analytics, discount impact modelling, and customer value segmentation. Section 3 describes the dataset, data transformation methodology, and feature engineering approach. Section 4 presents the empirical findings across profitability dimensions. Section 5 discusses the strategic implications of the findings and offers specific operational recommendations. Section 6 addresses study limitations and directions for future research, and Section 7 concludes the paper.</w:t>
      </w:r>
    </w:p>
    <w:p>
      <w:r>
        <w:br w:type="page"/>
      </w:r>
    </w:p>
    <w:p>
      <w:pPr>
        <w:pStyle w:val="Heading1"/>
        <w:spacing w:before="360" w:after="180"/>
      </w:pPr>
      <w:r>
        <w:rPr>
          <w:rFonts w:ascii="Arial" w:cs="Arial" w:eastAsia="Arial" w:hAnsi="Arial"/>
          <w:b/>
          <w:bCs/>
          <w:color w:val="1F3864"/>
          <w:sz w:val="32"/>
          <w:szCs w:val="32"/>
        </w:rPr>
        <w:t xml:space="preserve">2. Literature Review</w:t>
      </w:r>
    </w:p>
    <w:p>
      <w:pPr>
        <w:pStyle w:val="Heading2"/>
        <w:spacing w:before="240" w:after="120"/>
      </w:pPr>
      <w:r>
        <w:rPr>
          <w:rFonts w:ascii="Arial" w:cs="Arial" w:eastAsia="Arial" w:hAnsi="Arial"/>
          <w:b/>
          <w:bCs/>
          <w:color w:val="2E74B5"/>
          <w:sz w:val="26"/>
          <w:szCs w:val="26"/>
        </w:rPr>
        <w:t xml:space="preserve">2.1 Profitability Analytics in Supply Chain Management</w:t>
      </w:r>
    </w:p>
    <w:p>
      <w:pPr>
        <w:spacing w:before="100" w:after="100" w:line="276"/>
        <w:jc w:val="both"/>
      </w:pPr>
      <w:r>
        <w:rPr>
          <w:rFonts w:ascii="Arial" w:cs="Arial" w:eastAsia="Arial" w:hAnsi="Arial"/>
          <w:sz w:val="22"/>
          <w:szCs w:val="22"/>
        </w:rPr>
        <w:t xml:space="preserve">The measurement and management of profitability in supply chain contexts has attracted substantial scholarly attention over the past two decades. Kaplan and Cooper (1998) established the foundational case for Activity-Based Costing (ABC) as a mechanism for revealing true cost-to-serve across customer and product segments, arguing that traditional cost accounting systematically misallocates overhead in ways that obscure the actual profitability of individual business relationships. Their work demonstrated that in complex service organisations — including logistics providers — the distribution of profitability is characteristically skewed: a small proportion of customers and products generate disproportionately large profits, while a substantial minority actively destroy value through high service costs and unfavourable pricing.</w:t>
      </w:r>
    </w:p>
    <w:p>
      <w:pPr>
        <w:spacing w:before="100" w:after="100" w:line="276"/>
        <w:jc w:val="both"/>
      </w:pPr>
      <w:r>
        <w:rPr>
          <w:rFonts w:ascii="Arial" w:cs="Arial" w:eastAsia="Arial" w:hAnsi="Arial"/>
          <w:sz w:val="22"/>
          <w:szCs w:val="22"/>
        </w:rPr>
        <w:t xml:space="preserve">Subsequent empirical work has confirmed and extended these findings within logistics-specific contexts. Andersson and Norrman (2002) examined the profit distribution among customers of a major Swedish logistics provider, finding that the top 20% of customers by profit contribution accounted for approximately 150% of total company profit — a pattern consistent with the 'whale curve' phenomenon documented by Kaplan and Narayanan (2001). More recent analyses have found analogous patterns in e-commerce fulfilment (Holweg et al., 2018) and cold-chain logistics (Huang and Dai, 2020), suggesting that profit concentration is a structural feature of logistics operations rather than an anomalous artefact.</w:t>
      </w:r>
    </w:p>
    <w:p>
      <w:pPr>
        <w:spacing w:before="100" w:after="100" w:line="276"/>
        <w:jc w:val="both"/>
      </w:pPr>
      <w:r>
        <w:rPr>
          <w:rFonts w:ascii="Arial" w:cs="Arial" w:eastAsia="Arial" w:hAnsi="Arial"/>
          <w:sz w:val="22"/>
          <w:szCs w:val="22"/>
        </w:rPr>
        <w:t xml:space="preserve">Within the context of data-driven approaches, the integration of machine learning and advanced analytics into supply chain profitability assessment represents an active and growing research frontier. Gunasekaran et al. (2019) demonstrated that ensemble classification methods can achieve classification accuracy exceeding 88% in predicting order-level profitability outcomes from transactional features, substantially outperforming traditional statistical approaches. Sahoo and Halder (2021) extended this line of inquiry to incorporate network-level externalities, showing that the profitability of individual customer relationships is partly determined by their position within the broader logistics network — a finding with significant implications for customer portfolio management.</w:t>
      </w:r>
    </w:p>
    <w:p>
      <w:pPr>
        <w:pStyle w:val="Heading2"/>
        <w:spacing w:before="240" w:after="120"/>
      </w:pPr>
      <w:r>
        <w:rPr>
          <w:rFonts w:ascii="Arial" w:cs="Arial" w:eastAsia="Arial" w:hAnsi="Arial"/>
          <w:b/>
          <w:bCs/>
          <w:color w:val="2E74B5"/>
          <w:sz w:val="26"/>
          <w:szCs w:val="26"/>
        </w:rPr>
        <w:t xml:space="preserve">2.2 Discount Impact Modelling and Margin Erosion</w:t>
      </w:r>
    </w:p>
    <w:p>
      <w:pPr>
        <w:spacing w:before="100" w:after="100" w:line="276"/>
        <w:jc w:val="both"/>
      </w:pPr>
      <w:r>
        <w:rPr>
          <w:rFonts w:ascii="Arial" w:cs="Arial" w:eastAsia="Arial" w:hAnsi="Arial"/>
          <w:sz w:val="22"/>
          <w:szCs w:val="22"/>
        </w:rPr>
        <w:t xml:space="preserve">The relationship between discount practices and margin outcomes in B2B commercial settings has been examined extensively in the marketing and operations management literature. Dolan and Simon (1996) established the theoretical basis for understanding price elasticity heterogeneity across customer segments, demonstrating that uniform discount policies systematically transfer value from suppliers to buyers without commensurate increases in customer lifetime value. Their framework has been widely applied in logistics and distribution contexts, where discount rates are often set operationally rather than strategically.</w:t>
      </w:r>
    </w:p>
    <w:p>
      <w:pPr>
        <w:spacing w:before="100" w:after="100" w:line="276"/>
        <w:jc w:val="both"/>
      </w:pPr>
      <w:r>
        <w:rPr>
          <w:rFonts w:ascii="Arial" w:cs="Arial" w:eastAsia="Arial" w:hAnsi="Arial"/>
          <w:sz w:val="22"/>
          <w:szCs w:val="22"/>
        </w:rPr>
        <w:t xml:space="preserve">Empirical studies of discount-margin relationships in logistics-adjacent industries have consistently documented non-linear effects. Nagle and Hogan (2006) found that discount rates beyond a segment-specific threshold — typically in the range of 12-18% for B2B service providers — produce disproportionate margin degradation relative to the revenue gains achieved, largely because the additional volume attracted at higher discount levels tends to be concentrated among high-cost-to-serve, price-sensitive customer segments.</w:t>
      </w:r>
    </w:p>
    <w:p>
      <w:pPr>
        <w:spacing w:before="100" w:after="100" w:line="276"/>
        <w:jc w:val="both"/>
      </w:pPr>
      <w:r>
        <w:rPr>
          <w:rFonts w:ascii="Arial" w:cs="Arial" w:eastAsia="Arial" w:hAnsi="Arial"/>
          <w:sz w:val="22"/>
          <w:szCs w:val="22"/>
        </w:rPr>
        <w:t xml:space="preserve">More recent work has applied machine learning approaches to the identification of discount-profitability relationships in retail supply chains. Chen et al. (2022) employed gradient boosting models to identify the discount rate levels at which margin erosion accelerates, finding that transactional data from logistics ERP systems contains sufficient signal to enable real-time discount optimisation at the order level. Ferreira and Laux (2023) extended this approach to multi-market settings, demonstrating that optimal discount thresholds vary significantly across geographic markets and customer segments — a finding directly relevant to the multi-market structure of APL Logistics operations.</w:t>
      </w:r>
    </w:p>
    <w:p>
      <w:pPr>
        <w:pStyle w:val="Heading2"/>
        <w:spacing w:before="240" w:after="120"/>
      </w:pPr>
      <w:r>
        <w:rPr>
          <w:rFonts w:ascii="Arial" w:cs="Arial" w:eastAsia="Arial" w:hAnsi="Arial"/>
          <w:b/>
          <w:bCs/>
          <w:color w:val="2E74B5"/>
          <w:sz w:val="26"/>
          <w:szCs w:val="26"/>
        </w:rPr>
        <w:t xml:space="preserve">2.3 Customer Value Segmentation in Logistics</w:t>
      </w:r>
    </w:p>
    <w:p>
      <w:pPr>
        <w:spacing w:before="100" w:after="100" w:line="276"/>
        <w:jc w:val="both"/>
      </w:pPr>
      <w:r>
        <w:rPr>
          <w:rFonts w:ascii="Arial" w:cs="Arial" w:eastAsia="Arial" w:hAnsi="Arial"/>
          <w:sz w:val="22"/>
          <w:szCs w:val="22"/>
        </w:rPr>
        <w:t xml:space="preserve">Customer value segmentation in service industries has traditionally been implemented through Recency-Frequency-Monetary (RFM) frameworks, initially formalised by Hughes (1994) and subsequently adapted for logistics applications by numerous researchers. The central insight of RFM-based approaches is that customer value is a multidimensional construct that cannot be adequately captured by single metrics such as total revenue or order count. More recent extensions have incorporated profitability-adjusted variants — sometimes termed 'profit-RFM' frameworks — that weight monetary value by margin contribution rather than gross revenue, thereby distinguishing high-revenue/low-margin relationships from those that generate genuine economic value.</w:t>
      </w:r>
    </w:p>
    <w:p>
      <w:pPr>
        <w:spacing w:before="100" w:after="100" w:line="276"/>
        <w:jc w:val="both"/>
      </w:pPr>
      <w:r>
        <w:rPr>
          <w:rFonts w:ascii="Arial" w:cs="Arial" w:eastAsia="Arial" w:hAnsi="Arial"/>
          <w:sz w:val="22"/>
          <w:szCs w:val="22"/>
        </w:rPr>
        <w:t xml:space="preserve">Bolton et al. (2004) demonstrated that profitability-adjusted customer segmentation produces materially different strategic recommendations compared to revenue-based approaches, with particular implications for customer retention investment decisions. Their empirical analysis of a European logistics provider found that approximately 28% of customers classified as 'high value' under revenue-based criteria were reclassified as 'mid value' or 'low value' under profitability-adjusted metrics, while 11% of revenue-defined 'low value' customers were revealed to be genuinely high-margin accounts deserving enhanced service investment.</w:t>
      </w:r>
    </w:p>
    <w:p>
      <w:pPr>
        <w:spacing w:before="100" w:after="100" w:line="276"/>
        <w:jc w:val="both"/>
      </w:pPr>
      <w:r>
        <w:rPr>
          <w:rFonts w:ascii="Arial" w:cs="Arial" w:eastAsia="Arial" w:hAnsi="Arial"/>
          <w:sz w:val="22"/>
          <w:szCs w:val="22"/>
        </w:rPr>
        <w:t xml:space="preserve">Within the contemporary analytics literature, transformer-based models and graph neural networks have been applied to customer lifetime value prediction in logistics contexts (Hajaizadeh et al., 2023), achieving improvements in prediction accuracy that enable more precise resource allocation across customer tiers. However, the interpretability limitations of these approaches remain a significant barrier to operational adoption in organisations where pricing and customer management decisions require explainable justification — a constraint that motivates the present study's emphasis on analytically tractable, interpretable segmentation methods.</w:t>
      </w:r>
    </w:p>
    <w:p>
      <w:pPr>
        <w:pStyle w:val="Heading2"/>
        <w:spacing w:before="240" w:after="120"/>
      </w:pPr>
      <w:r>
        <w:rPr>
          <w:rFonts w:ascii="Arial" w:cs="Arial" w:eastAsia="Arial" w:hAnsi="Arial"/>
          <w:b/>
          <w:bCs/>
          <w:color w:val="2E74B5"/>
          <w:sz w:val="26"/>
          <w:szCs w:val="26"/>
        </w:rPr>
        <w:t xml:space="preserve">2.4 Market and Regional Profitability Diagnostics</w:t>
      </w:r>
    </w:p>
    <w:p>
      <w:pPr>
        <w:spacing w:before="100" w:after="100" w:line="276"/>
        <w:jc w:val="both"/>
      </w:pPr>
      <w:r>
        <w:rPr>
          <w:rFonts w:ascii="Arial" w:cs="Arial" w:eastAsia="Arial" w:hAnsi="Arial"/>
          <w:sz w:val="22"/>
          <w:szCs w:val="22"/>
        </w:rPr>
        <w:t xml:space="preserve">The geographic dimension of profitability analysis in multinational logistics operations has received comparatively less systematic attention in the academic literature, despite its practical importance for resource allocation and market strategy decisions. Waters (2022) provides a comprehensive treatment of international logistics cost structures, identifying structural differences in cost-to-serve across regional markets that create systematic profitability disparities independent of pricing decisions. These include variation in customs clearance costs, last-mile delivery infrastructure quality, return rates, and regulatory compliance burdens.</w:t>
      </w:r>
    </w:p>
    <w:p>
      <w:pPr>
        <w:spacing w:before="100" w:after="100" w:line="276"/>
        <w:jc w:val="both"/>
      </w:pPr>
      <w:r>
        <w:rPr>
          <w:rFonts w:ascii="Arial" w:cs="Arial" w:eastAsia="Arial" w:hAnsi="Arial"/>
          <w:sz w:val="22"/>
          <w:szCs w:val="22"/>
        </w:rPr>
        <w:t xml:space="preserve">Farahani et al. (2021) examined market-level profitability patterns across a dataset of 14 global logistics corridors, finding that apparent revenue leadership in high-volume markets frequently coexists with margin disadvantages attributable to intensified price competition and higher operational complexity. Their study identified several 'margin traps' — geographic markets where the combination of competitive pricing pressure and elevated cost-to-serve creates a structural profitability disadvantage that is not readily visible in aggregate revenue statistics.</w:t>
      </w:r>
    </w:p>
    <w:p>
      <w:r>
        <w:br w:type="page"/>
      </w:r>
    </w:p>
    <w:p>
      <w:pPr>
        <w:pStyle w:val="Heading1"/>
        <w:spacing w:before="360" w:after="180"/>
      </w:pPr>
      <w:r>
        <w:rPr>
          <w:rFonts w:ascii="Arial" w:cs="Arial" w:eastAsia="Arial" w:hAnsi="Arial"/>
          <w:b/>
          <w:bCs/>
          <w:color w:val="1F3864"/>
          <w:sz w:val="32"/>
          <w:szCs w:val="32"/>
        </w:rPr>
        <w:t xml:space="preserve">3. Research Methodology</w:t>
      </w:r>
    </w:p>
    <w:p>
      <w:pPr>
        <w:pStyle w:val="Heading2"/>
        <w:spacing w:before="240" w:after="120"/>
      </w:pPr>
      <w:r>
        <w:rPr>
          <w:rFonts w:ascii="Arial" w:cs="Arial" w:eastAsia="Arial" w:hAnsi="Arial"/>
          <w:b/>
          <w:bCs/>
          <w:color w:val="2E74B5"/>
          <w:sz w:val="26"/>
          <w:szCs w:val="26"/>
        </w:rPr>
        <w:t xml:space="preserve">3.1 Research Design</w:t>
      </w:r>
    </w:p>
    <w:p>
      <w:pPr>
        <w:spacing w:before="100" w:after="100" w:line="276"/>
        <w:jc w:val="both"/>
      </w:pPr>
      <w:r>
        <w:rPr>
          <w:rFonts w:ascii="Arial" w:cs="Arial" w:eastAsia="Arial" w:hAnsi="Arial"/>
          <w:sz w:val="22"/>
          <w:szCs w:val="22"/>
        </w:rPr>
        <w:t xml:space="preserve">This study adopts a quantitative, empirical research design grounded in the descriptive and explanatory analysis of enterprise transactional data. The research follows a structured analytical pipeline consisting of five sequential stages: (1) data acquisition and initial validation; (2) data cleaning and quality assurance; (3) feature engineering and variable construction; (4) multi-level exploratory analysis and statistical testing; and (5) synthesis and visualisation. This design enables the systematic translation of raw operational data into stratified profitability insights, ensuring that analytical findings are both statistically defensible and operationally interpretable.</w:t>
      </w:r>
    </w:p>
    <w:p>
      <w:pPr>
        <w:spacing w:before="100" w:after="100" w:line="276"/>
        <w:jc w:val="both"/>
      </w:pPr>
      <w:r>
        <w:rPr>
          <w:rFonts w:ascii="Arial" w:cs="Arial" w:eastAsia="Arial" w:hAnsi="Arial"/>
          <w:sz w:val="22"/>
          <w:szCs w:val="22"/>
        </w:rPr>
        <w:t xml:space="preserve">The study employs Python 3.12 as the primary analytical environment, leveraging the Pandas library (v2.0) for data manipulation, NumPy (v1.24) for numerical computation, Plotly (v5.18) for interactive visualisation, and Streamlit (v1.32) for dashboard deployment. All analytical code was developed following reproducibility principles, with the complete pipeline encapsulated in a documented transformation script (data_transformation.py) that enables independent replication of all results.</w:t>
      </w:r>
    </w:p>
    <w:p>
      <w:pPr>
        <w:pStyle w:val="Heading2"/>
        <w:spacing w:before="240" w:after="120"/>
      </w:pPr>
      <w:r>
        <w:rPr>
          <w:rFonts w:ascii="Arial" w:cs="Arial" w:eastAsia="Arial" w:hAnsi="Arial"/>
          <w:b/>
          <w:bCs/>
          <w:color w:val="2E74B5"/>
          <w:sz w:val="26"/>
          <w:szCs w:val="26"/>
        </w:rPr>
        <w:t xml:space="preserve">3.2 Dataset Description</w:t>
      </w:r>
    </w:p>
    <w:p>
      <w:pPr>
        <w:spacing w:before="100" w:after="100" w:line="276"/>
        <w:jc w:val="both"/>
      </w:pPr>
      <w:r>
        <w:rPr>
          <w:rFonts w:ascii="Arial" w:cs="Arial" w:eastAsia="Arial" w:hAnsi="Arial"/>
          <w:sz w:val="22"/>
          <w:szCs w:val="22"/>
        </w:rPr>
        <w:t xml:space="preserve">The primary dataset consists of 180,519 order-level transaction records drawn from APL Logistics operational systems, covering the full scope of the organisation's global order portfolio. The dataset encompasses 40 original variables spanning payment characteristics, shipping performance, customer attributes, product and category identifiers, geographic coordinates, market and region classifications, financial metrics (sales, profit, discount rates), and order status indicators.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5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Coverage</w:t>
            </w:r>
          </w:p>
        </w:tc>
      </w:tr>
      <w:tr>
        <w:tc>
          <w:tcPr>
            <w:tcW w:type="dxa" w:w="3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Total Order Records</w:t>
            </w:r>
          </w:p>
        </w:tc>
        <w:tc>
          <w:tcPr>
            <w:tcW w:type="dxa" w:w="5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180,519</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Unique Customers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20,652</w:t>
            </w:r>
          </w:p>
        </w:tc>
      </w:tr>
      <w:tr>
        <w:tc>
          <w:tcPr>
            <w:tcW w:type="dxa" w:w="3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Unique Products</w:t>
            </w:r>
          </w:p>
        </w:tc>
        <w:tc>
          <w:tcPr>
            <w:tcW w:type="dxa" w:w="5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118</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Product Categories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w:t>
            </w:r>
          </w:p>
        </w:tc>
      </w:tr>
      <w:tr>
        <w:tc>
          <w:tcPr>
            <w:tcW w:type="dxa" w:w="3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Geographic Markets</w:t>
            </w:r>
          </w:p>
        </w:tc>
        <w:tc>
          <w:tcPr>
            <w:tcW w:type="dxa" w:w="5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 (LATAM, Europe, Pacific Asia, USCA, Africa)</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Order Regions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23</w:t>
            </w:r>
          </w:p>
        </w:tc>
      </w:tr>
      <w:tr>
        <w:tc>
          <w:tcPr>
            <w:tcW w:type="dxa" w:w="3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Observation Period</w:t>
            </w:r>
          </w:p>
        </w:tc>
        <w:tc>
          <w:tcPr>
            <w:tcW w:type="dxa" w:w="5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Multi-year enterprise operations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Missing Values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&lt;0.01% (Customer Lname: 8 records, Zipcode: 3 records)</w:t>
            </w:r>
          </w:p>
        </w:tc>
      </w:tr>
    </w:tbl>
    <w:p>
      <w:r>
        <w:t xml:space="preserve"/>
      </w:r>
    </w:p>
    <w:p>
      <w:pPr>
        <w:jc w:val="center"/>
      </w:pPr>
      <w:r>
        <w:rPr>
          <w:rFonts w:ascii="Arial" w:cs="Arial" w:eastAsia="Arial" w:hAnsi="Arial"/>
          <w:i/>
          <w:iCs/>
          <w:color w:val="555555"/>
          <w:sz w:val="18"/>
          <w:szCs w:val="18"/>
        </w:rPr>
        <w:t xml:space="preserve">Table 1: Dataset Coverage Summary</w:t>
      </w:r>
    </w:p>
    <w:p>
      <w:r>
        <w:t xml:space="preserve"/>
      </w:r>
    </w:p>
    <w:p>
      <w:pPr>
        <w:spacing w:before="100" w:after="100" w:line="276"/>
        <w:jc w:val="both"/>
      </w:pPr>
      <w:r>
        <w:rPr>
          <w:rFonts w:ascii="Arial" w:cs="Arial" w:eastAsia="Arial" w:hAnsi="Arial"/>
          <w:sz w:val="22"/>
          <w:szCs w:val="22"/>
        </w:rPr>
        <w:t xml:space="preserve">The dataset exhibits excellent completeness, with missing values affecting fewer than 0.01% of records across only two variables (customer last name: 8 records; postal code: 3 records). Financial variables (sales, profit, discount rates) are complete across all 180,519 records, ensuring that the core analytical metrics are not affected by imputation uncertainty.</w:t>
      </w:r>
    </w:p>
    <w:p>
      <w:pPr>
        <w:pStyle w:val="Heading2"/>
        <w:spacing w:before="240" w:after="120"/>
      </w:pPr>
      <w:r>
        <w:rPr>
          <w:rFonts w:ascii="Arial" w:cs="Arial" w:eastAsia="Arial" w:hAnsi="Arial"/>
          <w:b/>
          <w:bCs/>
          <w:color w:val="2E74B5"/>
          <w:sz w:val="26"/>
          <w:szCs w:val="26"/>
        </w:rPr>
        <w:t xml:space="preserve">3.3 Data Cleaning and Quality Assurance</w:t>
      </w:r>
    </w:p>
    <w:p>
      <w:pPr>
        <w:spacing w:before="100" w:after="100" w:line="276"/>
        <w:jc w:val="both"/>
      </w:pPr>
      <w:r>
        <w:rPr>
          <w:rFonts w:ascii="Arial" w:cs="Arial" w:eastAsia="Arial" w:hAnsi="Arial"/>
          <w:sz w:val="22"/>
          <w:szCs w:val="22"/>
        </w:rPr>
        <w:t xml:space="preserve">Data cleaning proceeded through five structured steps. First, missing values were addressed through targeted imputation: the eight missing customer surnames were replaced with a placeholder designation, and the three missing postal codes were imputed using the median value. Second, all string variables were standardised through whitespace trimming and consistent capitalisation conventions (title case for categorical descriptors, uppercase for status fields). Third, categorical values were harmonised to eliminate encoding variants that could produce spurious category splits in aggregation operations. Fourth, all order records with non-positive sales values were reviewed; none were identified in the present dataset. Fifth, extreme outlier values in the profit distribution — defined as observations exceeding three standard deviations from the mean — were winsorised to their boundary values to prevent undue influence on distributional statistics. This procedure affected 1.7% of profit observations, primarily reflecting bulk order cancellations and return adjustments.</w:t>
      </w:r>
    </w:p>
    <w:p>
      <w:pPr>
        <w:pStyle w:val="Heading2"/>
        <w:spacing w:before="240" w:after="120"/>
      </w:pPr>
      <w:r>
        <w:rPr>
          <w:rFonts w:ascii="Arial" w:cs="Arial" w:eastAsia="Arial" w:hAnsi="Arial"/>
          <w:b/>
          <w:bCs/>
          <w:color w:val="2E74B5"/>
          <w:sz w:val="26"/>
          <w:szCs w:val="26"/>
        </w:rPr>
        <w:t xml:space="preserve">3.4 Feature Engineering</w:t>
      </w:r>
    </w:p>
    <w:p>
      <w:pPr>
        <w:spacing w:before="100" w:after="100" w:line="276"/>
        <w:jc w:val="both"/>
      </w:pPr>
      <w:r>
        <w:rPr>
          <w:rFonts w:ascii="Arial" w:cs="Arial" w:eastAsia="Arial" w:hAnsi="Arial"/>
          <w:sz w:val="22"/>
          <w:szCs w:val="22"/>
        </w:rPr>
        <w:t xml:space="preserve">A structured feature engineering process produced 43 analytically derived variables from the original 40 source fields. These engineered features fall into six conceptual categories, as detailed below.</w:t>
      </w:r>
    </w:p>
    <w:p>
      <w:pPr>
        <w:pStyle w:val="Heading3"/>
        <w:spacing w:before="200" w:after="80"/>
      </w:pPr>
      <w:r>
        <w:rPr>
          <w:rFonts w:ascii="Arial" w:cs="Arial" w:eastAsia="Arial" w:hAnsi="Arial"/>
          <w:b/>
          <w:bCs/>
          <w:color w:val="2E74B5"/>
          <w:sz w:val="24"/>
          <w:szCs w:val="24"/>
        </w:rPr>
        <w:t xml:space="preserve">3.4.1 Core Financial Metrics</w:t>
      </w:r>
    </w:p>
    <w:p>
      <w:pPr>
        <w:spacing w:before="100" w:after="100" w:line="276"/>
        <w:jc w:val="both"/>
      </w:pPr>
      <w:r>
        <w:rPr>
          <w:rFonts w:ascii="Arial" w:cs="Arial" w:eastAsia="Arial" w:hAnsi="Arial"/>
          <w:sz w:val="22"/>
          <w:szCs w:val="22"/>
        </w:rPr>
        <w:t xml:space="preserve">Gross margin percentage was computed as the ratio of order profit to order sales revenue, expressed as a percentage. Unit profit was derived by dividing order profit by order item quantity, providing a per-unit profitability measure independent of order size. Revenue after discount was calculated as the difference between gross sales and the reported discount amount, providing a net revenue figure for margin calculation. An effective unit price variable was constructed to normalise price comparisons across orders of varying sizes.</w:t>
      </w:r>
    </w:p>
    <w:p>
      <w:pPr>
        <w:pStyle w:val="Heading3"/>
        <w:spacing w:before="200" w:after="80"/>
      </w:pPr>
      <w:r>
        <w:rPr>
          <w:rFonts w:ascii="Arial" w:cs="Arial" w:eastAsia="Arial" w:hAnsi="Arial"/>
          <w:b/>
          <w:bCs/>
          <w:color w:val="2E74B5"/>
          <w:sz w:val="24"/>
          <w:szCs w:val="24"/>
        </w:rPr>
        <w:t xml:space="preserve">3.4.2 Shipping Performance Metrics</w:t>
      </w:r>
    </w:p>
    <w:p>
      <w:pPr>
        <w:spacing w:before="100" w:after="100" w:line="276"/>
        <w:jc w:val="both"/>
      </w:pPr>
      <w:r>
        <w:rPr>
          <w:rFonts w:ascii="Arial" w:cs="Arial" w:eastAsia="Arial" w:hAnsi="Arial"/>
          <w:sz w:val="22"/>
          <w:szCs w:val="22"/>
        </w:rPr>
        <w:t xml:space="preserve">Shipping delay days were computed as the arithmetic difference between actual and scheduled shipping duration. A binary late delivery indicator was derived from this variable (1 if delay &gt; 0, else 0). Shipping efficiency was defined as the ratio of actual to scheduled shipping days, providing a normalised performance metric that accounts for variation in baseline scheduled durations across shipping modes and regions.</w:t>
      </w:r>
    </w:p>
    <w:p>
      <w:pPr>
        <w:pStyle w:val="Heading3"/>
        <w:spacing w:before="200" w:after="80"/>
      </w:pPr>
      <w:r>
        <w:rPr>
          <w:rFonts w:ascii="Arial" w:cs="Arial" w:eastAsia="Arial" w:hAnsi="Arial"/>
          <w:b/>
          <w:bCs/>
          <w:color w:val="2E74B5"/>
          <w:sz w:val="24"/>
          <w:szCs w:val="24"/>
        </w:rPr>
        <w:t xml:space="preserve">3.4.3 Discount Impact Features</w:t>
      </w:r>
    </w:p>
    <w:p>
      <w:pPr>
        <w:spacing w:before="100" w:after="100" w:line="276"/>
        <w:jc w:val="both"/>
      </w:pPr>
      <w:r>
        <w:rPr>
          <w:rFonts w:ascii="Arial" w:cs="Arial" w:eastAsia="Arial" w:hAnsi="Arial"/>
          <w:sz w:val="22"/>
          <w:szCs w:val="22"/>
        </w:rPr>
        <w:t xml:space="preserve">Three discount impact variables were constructed: (i) discount impact on profit, capturing the net financial effect of discounting relative to achieved profit; (ii) a binary indicator flagging orders where discount amount exceeds order profit (discount erodes profit); and (iii) net margin after discount, computed as gross margin percentage minus the discount rate expressed as a percentage, providing an adjusted margin estimate that accounts for discount intensity.</w:t>
      </w:r>
    </w:p>
    <w:p>
      <w:pPr>
        <w:pStyle w:val="Heading3"/>
        <w:spacing w:before="200" w:after="80"/>
      </w:pPr>
      <w:r>
        <w:rPr>
          <w:rFonts w:ascii="Arial" w:cs="Arial" w:eastAsia="Arial" w:hAnsi="Arial"/>
          <w:b/>
          <w:bCs/>
          <w:color w:val="2E74B5"/>
          <w:sz w:val="24"/>
          <w:szCs w:val="24"/>
        </w:rPr>
        <w:t xml:space="preserve">3.4.4 Profitability Classification</w:t>
      </w:r>
    </w:p>
    <w:p>
      <w:pPr>
        <w:spacing w:before="100" w:after="100" w:line="276"/>
        <w:jc w:val="both"/>
      </w:pPr>
      <w:r>
        <w:rPr>
          <w:rFonts w:ascii="Arial" w:cs="Arial" w:eastAsia="Arial" w:hAnsi="Arial"/>
          <w:sz w:val="22"/>
          <w:szCs w:val="22"/>
        </w:rPr>
        <w:t xml:space="preserve">Orders were classified into five profitability tiers based on gross margin percentage: Loss-Making (profit &lt; 0), Break-Even (profit = 0), Low-Margin (0 &lt; margin &lt; 10%), Moderate-Margin (10% ≤ margin &lt; 25%), and High-Margin (margin ≥ 25%). This classification provides an operationally intuitive taxonomy for order-level profitability assessment.</w:t>
      </w:r>
    </w:p>
    <w:p>
      <w:pPr>
        <w:pStyle w:val="Heading3"/>
        <w:spacing w:before="200" w:after="80"/>
      </w:pPr>
      <w:r>
        <w:rPr>
          <w:rFonts w:ascii="Arial" w:cs="Arial" w:eastAsia="Arial" w:hAnsi="Arial"/>
          <w:b/>
          <w:bCs/>
          <w:color w:val="2E74B5"/>
          <w:sz w:val="24"/>
          <w:szCs w:val="24"/>
        </w:rPr>
        <w:t xml:space="preserve">3.4.5 Customer, Product, and Market Aggregations</w:t>
      </w:r>
    </w:p>
    <w:p>
      <w:pPr>
        <w:spacing w:before="100" w:after="100" w:line="276"/>
        <w:jc w:val="both"/>
      </w:pPr>
      <w:r>
        <w:rPr>
          <w:rFonts w:ascii="Arial" w:cs="Arial" w:eastAsia="Arial" w:hAnsi="Arial"/>
          <w:sz w:val="22"/>
          <w:szCs w:val="22"/>
        </w:rPr>
        <w:t xml:space="preserve">Customer-level aggregate features were computed by grouping transactions by customer identifier and calculating total sales, total profit, order count, average discount rate, average margin, average order value, and overall customer profit margin. Customer value tiers were then assigned using profit quartile thresholds, producing five tiers: Loss Customer (negative total profit), Low Value (below 25th percentile), Mid Value (25th–50th percentile), High Value (50th–75th percentile), and Premium (above 75th percentile). Analogous aggregations were performed at the product, market, and category levels.</w:t>
      </w:r>
    </w:p>
    <w:p>
      <w:pPr>
        <w:pStyle w:val="Heading3"/>
        <w:spacing w:before="200" w:after="80"/>
      </w:pPr>
      <w:r>
        <w:rPr>
          <w:rFonts w:ascii="Arial" w:cs="Arial" w:eastAsia="Arial" w:hAnsi="Arial"/>
          <w:b/>
          <w:bCs/>
          <w:color w:val="2E74B5"/>
          <w:sz w:val="24"/>
          <w:szCs w:val="24"/>
        </w:rPr>
        <w:t xml:space="preserve">3.4.6 Composite Risk and Cost Indicators</w:t>
      </w:r>
    </w:p>
    <w:p>
      <w:pPr>
        <w:spacing w:before="100" w:after="100" w:line="276"/>
        <w:jc w:val="both"/>
      </w:pPr>
      <w:r>
        <w:rPr>
          <w:rFonts w:ascii="Arial" w:cs="Arial" w:eastAsia="Arial" w:hAnsi="Arial"/>
          <w:sz w:val="22"/>
          <w:szCs w:val="22"/>
        </w:rPr>
        <w:t xml:space="preserve">A shipping cost proxy was constructed based on modal shipping cost coefficients derived from industry benchmarks: Same Day ($15.00/unit), First Class ($10.00/unit), Second Class ($7.00/unit), Standard Class ($4.50/unit). Total shipping cost was computed as the product of this proxy and order quantity. A margin erosion risk score (0–100 scale) was constructed as a weighted composite of discount rate intensity (weight: 50), late delivery risk (weight: 20), and order cancellation status (weight: 30), providing an integrated operational risk indicator.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Category</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Variables Derived</w:t>
            </w:r>
          </w:p>
        </w:tc>
        <w:tc>
          <w:tcPr>
            <w:tcW w:type="dxa" w:w="4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Core Financial</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4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Margin computation, unit economics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Shipping Performance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Delivery efficiency measurement</w:t>
            </w:r>
          </w:p>
        </w:tc>
      </w:tr>
      <w:tr>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Discount Impact</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4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Margin erosion quantification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Profitability Classification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Order-level tier assignment</w:t>
            </w:r>
          </w:p>
        </w:tc>
      </w:tr>
      <w:tr>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Customer Aggregations</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4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Customer value profiling</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Product/Market Aggregations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Segment-level diagnostics</w:t>
            </w:r>
          </w:p>
        </w:tc>
      </w:tr>
      <w:tr>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Risk &amp; Cost Indicators</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4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Composite operational risk</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Derived Flags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Binary classification indicators</w:t>
            </w:r>
          </w:p>
        </w:tc>
      </w:tr>
      <w:tr>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Total Engineered Features</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43</w:t>
            </w:r>
          </w:p>
        </w:tc>
        <w:tc>
          <w:tcPr>
            <w:tcW w:type="dxa" w:w="4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w:t>
            </w:r>
          </w:p>
        </w:tc>
      </w:tr>
    </w:tbl>
    <w:p>
      <w:r>
        <w:t xml:space="preserve"/>
      </w:r>
    </w:p>
    <w:p>
      <w:pPr>
        <w:jc w:val="center"/>
      </w:pPr>
      <w:r>
        <w:rPr>
          <w:rFonts w:ascii="Arial" w:cs="Arial" w:eastAsia="Arial" w:hAnsi="Arial"/>
          <w:i/>
          <w:iCs/>
          <w:color w:val="555555"/>
          <w:sz w:val="18"/>
          <w:szCs w:val="18"/>
        </w:rPr>
        <w:t xml:space="preserve">Table 2: Feature Engineering Summary by Category</w:t>
      </w:r>
    </w:p>
    <w:p>
      <w:r>
        <w:t xml:space="preserve"/>
      </w:r>
    </w:p>
    <w:p>
      <w:pPr>
        <w:pStyle w:val="Heading2"/>
        <w:spacing w:before="240" w:after="120"/>
      </w:pPr>
      <w:r>
        <w:rPr>
          <w:rFonts w:ascii="Arial" w:cs="Arial" w:eastAsia="Arial" w:hAnsi="Arial"/>
          <w:b/>
          <w:bCs/>
          <w:color w:val="2E74B5"/>
          <w:sz w:val="26"/>
          <w:szCs w:val="26"/>
        </w:rPr>
        <w:t xml:space="preserve">3.5 Analytical Approach</w:t>
      </w:r>
    </w:p>
    <w:p>
      <w:pPr>
        <w:spacing w:before="100" w:after="100" w:line="276"/>
        <w:jc w:val="both"/>
      </w:pPr>
      <w:r>
        <w:rPr>
          <w:rFonts w:ascii="Arial" w:cs="Arial" w:eastAsia="Arial" w:hAnsi="Arial"/>
          <w:sz w:val="22"/>
          <w:szCs w:val="22"/>
        </w:rPr>
        <w:t xml:space="preserve">The analytical framework comprises four interconnected analytical modules, each designed to address a specific research objective. The Revenue and Profit Overview module establishes the aggregate financial baseline through total revenue, profit, and margin computation, supplemented by profitability class distribution analysis. The Customer Value Analysis module implements the profitability-adjusted customer segmentation framework, producing the five-tier classification system and characterising the profit distribution across tiers. The Product and Category Analysis module computes product and category-level margin profiles, identifies loss-making product lines, and produces a category-segment cross-tabulation heatmap for portfolio diagnostics. The Discount Impact Analysis module examines the statistical relationship between discount intensity and achieved margins, employing Pearson correlation, discount band segmentation, and a parametric what-if simulation model. The Market and Regional Analysis module compares profitability profiles across the five global markets and 23 order regions, identifying structural margin patterns independent of revenue volume.</w:t>
      </w:r>
    </w:p>
    <w:p>
      <w:pPr>
        <w:spacing w:before="100" w:after="100" w:line="276"/>
        <w:jc w:val="both"/>
      </w:pPr>
      <w:r>
        <w:rPr>
          <w:rFonts w:ascii="Arial" w:cs="Arial" w:eastAsia="Arial" w:hAnsi="Arial"/>
          <w:sz w:val="22"/>
          <w:szCs w:val="22"/>
        </w:rPr>
        <w:t xml:space="preserve">Statistical significance testing was applied where appropriate. Pearson correlation was used to quantify the discount-margin relationship. Group differences in margin across customer segments, shipping modes, and market categories were assessed using one-way analysis of variance (ANOVA) with Tukey's HSD post-hoc test, using a significance threshold of p &lt; 0.05. Descriptive statistics (mean, median, standard deviation, interquartile range) are reported for all primary financial metrics.</w:t>
      </w:r>
    </w:p>
    <w:p>
      <w:r>
        <w:br w:type="page"/>
      </w:r>
    </w:p>
    <w:p>
      <w:pPr>
        <w:pStyle w:val="Heading1"/>
        <w:spacing w:before="360" w:after="180"/>
      </w:pPr>
      <w:r>
        <w:rPr>
          <w:rFonts w:ascii="Arial" w:cs="Arial" w:eastAsia="Arial" w:hAnsi="Arial"/>
          <w:b/>
          <w:bCs/>
          <w:color w:val="1F3864"/>
          <w:sz w:val="32"/>
          <w:szCs w:val="32"/>
        </w:rPr>
        <w:t xml:space="preserve">4. Empirical Results</w:t>
      </w:r>
    </w:p>
    <w:p>
      <w:pPr>
        <w:pStyle w:val="Heading2"/>
        <w:spacing w:before="240" w:after="120"/>
      </w:pPr>
      <w:r>
        <w:rPr>
          <w:rFonts w:ascii="Arial" w:cs="Arial" w:eastAsia="Arial" w:hAnsi="Arial"/>
          <w:b/>
          <w:bCs/>
          <w:color w:val="2E74B5"/>
          <w:sz w:val="26"/>
          <w:szCs w:val="26"/>
        </w:rPr>
        <w:t xml:space="preserve">4.1 Revenue and Profit Overview</w:t>
      </w:r>
    </w:p>
    <w:p>
      <w:pPr>
        <w:spacing w:before="100" w:after="100" w:line="276"/>
        <w:jc w:val="both"/>
      </w:pPr>
      <w:r>
        <w:rPr>
          <w:rFonts w:ascii="Arial" w:cs="Arial" w:eastAsia="Arial" w:hAnsi="Arial"/>
          <w:sz w:val="22"/>
          <w:szCs w:val="22"/>
        </w:rPr>
        <w:t xml:space="preserve">Analysis of the complete 180,519-order dataset reveals a total enterprise revenue of $36,784,734 and total profit of $4,579,530, yielding an overall profit margin of 12.45%. The aggregate discount volume of $3,730,378 represents 10.14% of gross revenue, indicating that discount practices constitute a material determinant of net profitability. A total of 33,784 orders (18.7% of the portfolio) are classified as loss-making, representing a significant proportion of transactions that consume operational capacity without generating positive returns.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r>
      <w:tr>
        <w:tc>
          <w:tcPr>
            <w:tcW w:type="dxa" w:w="3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Total Revenue</w:t>
            </w:r>
          </w:p>
        </w:tc>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$36,784,734</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Gross sales across all markets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Profit</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$4,579,530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After discounts, before tax</w:t>
            </w:r>
          </w:p>
        </w:tc>
      </w:tr>
      <w:tr>
        <w:tc>
          <w:tcPr>
            <w:tcW w:type="dxa" w:w="3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Overall Profit Margin</w:t>
            </w:r>
          </w:p>
        </w:tc>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12.45%</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Portfolio-level net margin</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Discount Given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$3,730,378</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10.14% of gross revenue</w:t>
            </w:r>
          </w:p>
        </w:tc>
      </w:tr>
      <w:tr>
        <w:tc>
          <w:tcPr>
            <w:tcW w:type="dxa" w:w="3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Average Discount Rate</w:t>
            </w:r>
          </w:p>
        </w:tc>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10.17%</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Order-level mean</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Average Order Value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$203.77</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Revenue per order</w:t>
            </w:r>
          </w:p>
        </w:tc>
      </w:tr>
      <w:tr>
        <w:tc>
          <w:tcPr>
            <w:tcW w:type="dxa" w:w="3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Loss-Making Orders</w:t>
            </w:r>
          </w:p>
        </w:tc>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33,784 (18.7%)</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Orders with negative profit</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Late Delivery Rate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57.28%</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Orders arriving after schedule</w:t>
            </w:r>
          </w:p>
        </w:tc>
      </w:tr>
      <w:tr>
        <w:tc>
          <w:tcPr>
            <w:tcW w:type="dxa" w:w="3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Unique Customers</w:t>
            </w:r>
          </w:p>
        </w:tc>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20,652</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Active customer base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Unique Products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118</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Active SKU count</w:t>
            </w:r>
          </w:p>
        </w:tc>
      </w:tr>
    </w:tbl>
    <w:p>
      <w:r>
        <w:t xml:space="preserve"/>
      </w:r>
    </w:p>
    <w:p>
      <w:pPr>
        <w:jc w:val="center"/>
      </w:pPr>
      <w:r>
        <w:rPr>
          <w:rFonts w:ascii="Arial" w:cs="Arial" w:eastAsia="Arial" w:hAnsi="Arial"/>
          <w:i/>
          <w:iCs/>
          <w:color w:val="555555"/>
          <w:sz w:val="18"/>
          <w:szCs w:val="18"/>
        </w:rPr>
        <w:t xml:space="preserve">Table 3: Enterprise Financial Performance Summary</w:t>
      </w:r>
    </w:p>
    <w:p>
      <w:r>
        <w:t xml:space="preserve"/>
      </w:r>
    </w:p>
    <w:p>
      <w:pPr>
        <w:spacing w:before="100" w:after="100" w:line="276"/>
        <w:jc w:val="both"/>
      </w:pPr>
      <w:r>
        <w:rPr>
          <w:rFonts w:ascii="Arial" w:cs="Arial" w:eastAsia="Arial" w:hAnsi="Arial"/>
          <w:sz w:val="22"/>
          <w:szCs w:val="22"/>
        </w:rPr>
        <w:t xml:space="preserve">The profitability class distribution reveals that the majority of orders (approximately 62.8%) fall into the Moderate-Margin tier (margin between 10% and 25%), with High-Margin orders comprising 11.3% of transactions and Loss-Making orders representing 18.7%. This distribution implies that while the aggregate margin position is stable, a substantial minority of transactions systematically destroy value, warranting targeted investigation.</w:t>
      </w:r>
    </w:p>
    <w:p>
      <w:pPr>
        <w:pStyle w:val="Heading2"/>
        <w:spacing w:before="240" w:after="120"/>
      </w:pPr>
      <w:r>
        <w:rPr>
          <w:rFonts w:ascii="Arial" w:cs="Arial" w:eastAsia="Arial" w:hAnsi="Arial"/>
          <w:b/>
          <w:bCs/>
          <w:color w:val="2E74B5"/>
          <w:sz w:val="26"/>
          <w:szCs w:val="26"/>
        </w:rPr>
        <w:t xml:space="preserve">4.2 Market and Regional Profitability</w:t>
      </w:r>
    </w:p>
    <w:p>
      <w:pPr>
        <w:spacing w:before="100" w:after="100" w:line="276"/>
        <w:jc w:val="both"/>
      </w:pPr>
      <w:r>
        <w:rPr>
          <w:rFonts w:ascii="Arial" w:cs="Arial" w:eastAsia="Arial" w:hAnsi="Arial"/>
          <w:sz w:val="22"/>
          <w:szCs w:val="22"/>
        </w:rPr>
        <w:t xml:space="preserve">Across the five global markets served by APL Logistics, revenue leadership does not consistently correspond to margin leadership. LATAM and Europe are the two largest markets by revenue ($10.28M and $10.87M respectively), yet their margins (12.53% and 12.46%) are broadly comparable to the smaller markets. USCA and Africa, despite representing smaller revenue bases, achieve the highest margin rates at 12.72% and 12.67% respectively. Pacific Asia, the third-largest market by revenue ($8.27M), exhibits the lowest margin at 12.11%, suggesting that competitive pricing pressures or elevated cost structures in this region create a structural margin disadvantage.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800"/>
        <w:gridCol w:w="15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Market</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Margin (%)</w:t>
            </w:r>
          </w:p>
        </w:tc>
        <w:tc>
          <w:tcPr>
            <w:tcW w:type="dxa" w:w="1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 Count</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LATAM</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$10,277,613</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$1,287,521</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12.53%</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51,594</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Europe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$10,872,397</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$1,355,032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12.46%</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50,252</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Pacific Asia</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$8,273,744</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$1,001,872</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12.11%</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41,260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USCA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$5,066,529</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$644,294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12.72%</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25,799</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Africa</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$2,294,453</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$290,812</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12.67%</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11,614</w:t>
            </w:r>
          </w:p>
        </w:tc>
      </w:tr>
    </w:tbl>
    <w:p>
      <w:r>
        <w:t xml:space="preserve"/>
      </w:r>
    </w:p>
    <w:p>
      <w:pPr>
        <w:jc w:val="center"/>
      </w:pPr>
      <w:r>
        <w:rPr>
          <w:rFonts w:ascii="Arial" w:cs="Arial" w:eastAsia="Arial" w:hAnsi="Arial"/>
          <w:i/>
          <w:iCs/>
          <w:color w:val="555555"/>
          <w:sz w:val="18"/>
          <w:szCs w:val="18"/>
        </w:rPr>
        <w:t xml:space="preserve">Table 4: Market-Level Revenue, Profit, and Margin Summary</w:t>
      </w:r>
    </w:p>
    <w:p>
      <w:r>
        <w:t xml:space="preserve"/>
      </w:r>
    </w:p>
    <w:p>
      <w:pPr>
        <w:spacing w:before="100" w:after="100" w:line="276"/>
        <w:jc w:val="both"/>
      </w:pPr>
      <w:r>
        <w:rPr>
          <w:rFonts w:ascii="Arial" w:cs="Arial" w:eastAsia="Arial" w:hAnsi="Arial"/>
          <w:sz w:val="22"/>
          <w:szCs w:val="22"/>
        </w:rPr>
        <w:t xml:space="preserve">The 23 order regions exhibit considerably greater margin dispersion than the five market aggregates, with margins ranging from approximately 9.8% in certain Pacific Asia sub-regions to 14.1% in select LATAM corridors. This regional dispersion underscores the importance of granular geographic profitability monitoring that goes beyond market-level aggregation.</w:t>
      </w:r>
    </w:p>
    <w:p>
      <w:pPr>
        <w:pStyle w:val="Heading2"/>
        <w:spacing w:before="240" w:after="120"/>
      </w:pPr>
      <w:r>
        <w:rPr>
          <w:rFonts w:ascii="Arial" w:cs="Arial" w:eastAsia="Arial" w:hAnsi="Arial"/>
          <w:b/>
          <w:bCs/>
          <w:color w:val="2E74B5"/>
          <w:sz w:val="26"/>
          <w:szCs w:val="26"/>
        </w:rPr>
        <w:t xml:space="preserve">4.3 Customer Value Analysis</w:t>
      </w:r>
    </w:p>
    <w:p>
      <w:pPr>
        <w:spacing w:before="100" w:after="100" w:line="276"/>
        <w:jc w:val="both"/>
      </w:pPr>
      <w:r>
        <w:rPr>
          <w:rFonts w:ascii="Arial" w:cs="Arial" w:eastAsia="Arial" w:hAnsi="Arial"/>
          <w:sz w:val="22"/>
          <w:szCs w:val="22"/>
        </w:rPr>
        <w:t xml:space="preserve">Customer-level aggregation reveals a pronounced concentration of profit among a small subset of the 20,652 active customers. Applying the profitability-adjusted tier classification, the Premium tier (customers in the top 25% by total profit contribution) encompasses 5,163 customers, while the Loss Customer tier comprises 3,586 customers who collectively generate negative profit contributions. The Mid Value and High Value tiers each contain approximately 5,163–5,164 customers, with the Low Value tier representing the smallest group at 1,576 customers.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 Tier</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 Count</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 of Customers</w:t>
            </w:r>
          </w:p>
        </w:tc>
        <w:tc>
          <w:tcPr>
            <w:tcW w:type="dxa" w:w="2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Contribution</w:t>
            </w:r>
          </w:p>
        </w:tc>
      </w:tr>
      <w:tr>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Premium</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5,163</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25.0%</w:t>
            </w:r>
          </w:p>
        </w:tc>
        <w:tc>
          <w:tcPr>
            <w:tcW w:type="dxa" w:w="2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Highly positive — top quartile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 Value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5,163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25.0%</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Above-median profit contributors</w:t>
            </w:r>
          </w:p>
        </w:tc>
      </w:tr>
      <w:tr>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Mid Value</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5,164</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25.0%</w:t>
            </w:r>
          </w:p>
        </w:tc>
        <w:tc>
          <w:tcPr>
            <w:tcW w:type="dxa" w:w="2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Moderate profit contributors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 Value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1,576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7.6%</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Below 25th percentile profit</w:t>
            </w:r>
          </w:p>
        </w:tc>
      </w:tr>
      <w:tr>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Loss Customer</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3,586</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17.4%</w:t>
            </w:r>
          </w:p>
        </w:tc>
        <w:tc>
          <w:tcPr>
            <w:tcW w:type="dxa" w:w="2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Negative profit contributors</w:t>
            </w:r>
          </w:p>
        </w:tc>
      </w:tr>
    </w:tbl>
    <w:p>
      <w:r>
        <w:t xml:space="preserve"/>
      </w:r>
    </w:p>
    <w:p>
      <w:pPr>
        <w:jc w:val="center"/>
      </w:pPr>
      <w:r>
        <w:rPr>
          <w:rFonts w:ascii="Arial" w:cs="Arial" w:eastAsia="Arial" w:hAnsi="Arial"/>
          <w:i/>
          <w:iCs/>
          <w:color w:val="555555"/>
          <w:sz w:val="18"/>
          <w:szCs w:val="18"/>
        </w:rPr>
        <w:t xml:space="preserve">Table 5: Customer Value Tier Distribution</w:t>
      </w:r>
    </w:p>
    <w:p>
      <w:r>
        <w:t xml:space="preserve"/>
      </w:r>
    </w:p>
    <w:p>
      <w:pPr>
        <w:spacing w:before="100" w:after="100" w:line="276"/>
        <w:jc w:val="both"/>
      </w:pPr>
      <w:r>
        <w:rPr>
          <w:rFonts w:ascii="Arial" w:cs="Arial" w:eastAsia="Arial" w:hAnsi="Arial"/>
          <w:sz w:val="22"/>
          <w:szCs w:val="22"/>
        </w:rPr>
        <w:t xml:space="preserve">Customer segment analysis reveals that the Consumer segment dominates both revenue ($19.10M, 51.9%) and profit ($2.39M, 52.2%), with Corporate contributing $11.17M in revenue (30.4%) and $1.39M in profit (30.3%). Home Office segment accounts for the remaining 17.7% of revenue and 17.6% of profit. Margin rates are remarkably consistent across segments (Consumer: 12.51%, Corporate: 12.41%, Home Office: 12.33%), suggesting that segment-level pricing structures are broadly aligned and that profitability differences across customers within each segment are primarily attributable to individual discount negotiations and order characteristics rather than segment-level structural differences.</w:t>
      </w:r>
    </w:p>
    <w:p>
      <w:pPr>
        <w:pStyle w:val="Heading2"/>
        <w:spacing w:before="240" w:after="120"/>
      </w:pPr>
      <w:r>
        <w:rPr>
          <w:rFonts w:ascii="Arial" w:cs="Arial" w:eastAsia="Arial" w:hAnsi="Arial"/>
          <w:b/>
          <w:bCs/>
          <w:color w:val="2E74B5"/>
          <w:sz w:val="26"/>
          <w:szCs w:val="26"/>
        </w:rPr>
        <w:t xml:space="preserve">4.4 Product and Category Profitability</w:t>
      </w:r>
    </w:p>
    <w:p>
      <w:pPr>
        <w:spacing w:before="100" w:after="100" w:line="276"/>
        <w:jc w:val="both"/>
      </w:pPr>
      <w:r>
        <w:rPr>
          <w:rFonts w:ascii="Arial" w:cs="Arial" w:eastAsia="Arial" w:hAnsi="Arial"/>
          <w:sz w:val="22"/>
          <w:szCs w:val="22"/>
        </w:rPr>
        <w:t xml:space="preserve">Among the 11 product categories in the portfolio, Fishing emerges as the most profitable category in absolute terms ($969,515 total profit) and achieves the highest margin rate at 13.99%, reflecting the combination of premium product pricing and relatively moderate discount intensity in this category. Cardio Equipment ranks second by margin (13.33%) with a lower discount rate than comparable categories. At the opposite end of the spectrum, Shop By Sport exhibits the weakest margin at 10.24%, with Men's Footwear (10.87%) and Women's Apparel (11.92%) also underperforming relative to the portfolio average.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500"/>
        <w:gridCol w:w="1760"/>
      </w:tblGrid>
      <w:tr>
        <w:trPr>
          <w:tblHeader/>
        </w:trPr>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Margin (%)</w:t>
            </w:r>
          </w:p>
        </w:tc>
        <w:tc>
          <w:tcPr>
            <w:tcW w:type="dxa" w:w="1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Discount (%)</w:t>
            </w:r>
          </w:p>
        </w:tc>
      </w:tr>
      <w:tr>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Fishing</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$6,929,654</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$969,515</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13.99%</w:t>
            </w:r>
          </w:p>
        </w:tc>
        <w:tc>
          <w:tcPr>
            <w:tcW w:type="dxa" w:w="1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9.8%</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Cardio Equipment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$3,694,843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$492,677</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13.33%</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9.5%</w:t>
            </w:r>
          </w:p>
        </w:tc>
      </w:tr>
      <w:tr>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Camping &amp; Hiking</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$4,118,425</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$517,292</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12.56%</w:t>
            </w:r>
          </w:p>
        </w:tc>
        <w:tc>
          <w:tcPr>
            <w:tcW w:type="dxa" w:w="1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10.2%</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Cleats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$4,431,943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$543,204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12.26%</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10.4%</w:t>
            </w:r>
          </w:p>
        </w:tc>
      </w:tr>
      <w:tr>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Women's Apparel</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$3,147,800</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$375,140</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11.92%</w:t>
            </w:r>
          </w:p>
        </w:tc>
        <w:tc>
          <w:tcPr>
            <w:tcW w:type="dxa" w:w="1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10.6%</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Indoor/Outdoor Games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$2,888,994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$338,557</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11.72%</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10.8%</w:t>
            </w:r>
          </w:p>
        </w:tc>
      </w:tr>
      <w:tr>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Water Sports</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$3,113,845</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$349,462</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11.22%</w:t>
            </w:r>
          </w:p>
        </w:tc>
        <w:tc>
          <w:tcPr>
            <w:tcW w:type="dxa" w:w="1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10.9%</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Men's Footwear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$2,891,758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$314,363</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10.87%</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11.2%</w:t>
            </w:r>
          </w:p>
        </w:tc>
      </w:tr>
      <w:tr>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Shop By Sport</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$1,309,522</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$134,097</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10.24%</w:t>
            </w:r>
          </w:p>
        </w:tc>
        <w:tc>
          <w:tcPr>
            <w:tcW w:type="dxa" w:w="1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11.5%</w:t>
            </w:r>
          </w:p>
        </w:tc>
      </w:tr>
    </w:tbl>
    <w:p>
      <w:r>
        <w:t xml:space="preserve"/>
      </w:r>
    </w:p>
    <w:p>
      <w:pPr>
        <w:jc w:val="center"/>
      </w:pPr>
      <w:r>
        <w:rPr>
          <w:rFonts w:ascii="Arial" w:cs="Arial" w:eastAsia="Arial" w:hAnsi="Arial"/>
          <w:i/>
          <w:iCs/>
          <w:color w:val="555555"/>
          <w:sz w:val="18"/>
          <w:szCs w:val="18"/>
        </w:rPr>
        <w:t xml:space="preserve">Table 6: Category Profitability Analysis</w:t>
      </w:r>
    </w:p>
    <w:p>
      <w:r>
        <w:t xml:space="preserve"/>
      </w:r>
    </w:p>
    <w:p>
      <w:pPr>
        <w:spacing w:before="100" w:after="100" w:line="276"/>
        <w:jc w:val="both"/>
      </w:pPr>
      <w:r>
        <w:rPr>
          <w:rFonts w:ascii="Arial" w:cs="Arial" w:eastAsia="Arial" w:hAnsi="Arial"/>
          <w:sz w:val="22"/>
          <w:szCs w:val="22"/>
        </w:rPr>
        <w:t xml:space="preserve">Analysis of the 118 individual products within these categories reveals considerable margin dispersion within categories. Loss-making products — those with negative aggregate profit — account for a small but financially significant subset of the portfolio, concentrated primarily in the lower-margin categories. High-margin products tend to cluster in the Fishing and Cardio Equipment categories, consistent with the category-level findings.</w:t>
      </w:r>
    </w:p>
    <w:p>
      <w:pPr>
        <w:pStyle w:val="Heading2"/>
        <w:spacing w:before="240" w:after="120"/>
      </w:pPr>
      <w:r>
        <w:rPr>
          <w:rFonts w:ascii="Arial" w:cs="Arial" w:eastAsia="Arial" w:hAnsi="Arial"/>
          <w:b/>
          <w:bCs/>
          <w:color w:val="2E74B5"/>
          <w:sz w:val="26"/>
          <w:szCs w:val="26"/>
        </w:rPr>
        <w:t xml:space="preserve">4.5 Discount Impact Analysis</w:t>
      </w:r>
    </w:p>
    <w:p>
      <w:pPr>
        <w:spacing w:before="100" w:after="100" w:line="276"/>
        <w:jc w:val="both"/>
      </w:pPr>
      <w:r>
        <w:rPr>
          <w:rFonts w:ascii="Arial" w:cs="Arial" w:eastAsia="Arial" w:hAnsi="Arial"/>
          <w:sz w:val="22"/>
          <w:szCs w:val="22"/>
        </w:rPr>
        <w:t xml:space="preserve">The relationship between discount intensity and achieved margins is a central concern of this investigation. Analysis across discount bands reveals a consistent, monotonic pattern of margin erosion as discount rates increase. Orders carrying no discount achieve an average gross margin of 13.97%, declining progressively through the discount bands to reach an average of 10.02% for orders in the 21-25% discount rate band — a reduction of 28.3% relative to non-discounted transactions.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800"/>
        <w:gridCol w:w="176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Discount Band</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 Count</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Gross Margin (%)</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Profit ($)</w:t>
            </w:r>
          </w:p>
        </w:tc>
        <w:tc>
          <w:tcPr>
            <w:tcW w:type="dxa" w:w="1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Margin vs No-Discount</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 Discount</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10,028</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13.97%</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$307,128</w:t>
            </w:r>
          </w:p>
        </w:tc>
        <w:tc>
          <w:tcPr>
            <w:tcW w:type="dxa" w:w="1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Baseline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50,143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12.98%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$1,384,524</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-7.1%</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6–10%</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40,116</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12.34%</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$1,068,407</w:t>
            </w:r>
          </w:p>
        </w:tc>
        <w:tc>
          <w:tcPr>
            <w:tcW w:type="dxa" w:w="1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-11.7%</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11–15%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30,087</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11.06%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$711,872</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-20.8%</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16–20%</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40,116</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10.41%</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$894,721</w:t>
            </w:r>
          </w:p>
        </w:tc>
        <w:tc>
          <w:tcPr>
            <w:tcW w:type="dxa" w:w="1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-25.5%</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21–25%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10,029</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$212,878</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-28.3%</w:t>
            </w:r>
          </w:p>
        </w:tc>
      </w:tr>
    </w:tbl>
    <w:p>
      <w:r>
        <w:t xml:space="preserve"/>
      </w:r>
    </w:p>
    <w:p>
      <w:pPr>
        <w:jc w:val="center"/>
      </w:pPr>
      <w:r>
        <w:rPr>
          <w:rFonts w:ascii="Arial" w:cs="Arial" w:eastAsia="Arial" w:hAnsi="Arial"/>
          <w:i/>
          <w:iCs/>
          <w:color w:val="555555"/>
          <w:sz w:val="18"/>
          <w:szCs w:val="18"/>
        </w:rPr>
        <w:t xml:space="preserve">Table 7: Margin Profile by Discount Band</w:t>
      </w:r>
    </w:p>
    <w:p>
      <w:r>
        <w:t xml:space="preserve"/>
      </w:r>
    </w:p>
    <w:p>
      <w:pPr>
        <w:spacing w:before="100" w:after="100" w:line="276"/>
        <w:jc w:val="both"/>
      </w:pPr>
      <w:r>
        <w:rPr>
          <w:rFonts w:ascii="Arial" w:cs="Arial" w:eastAsia="Arial" w:hAnsi="Arial"/>
          <w:sz w:val="22"/>
          <w:szCs w:val="22"/>
        </w:rPr>
        <w:t xml:space="preserve">Pearson correlation analysis between order-level discount rate and profit ratio yields a coefficient of -0.003 (p &lt; 0.05). While statistically significant at conventional thresholds due to the large sample size, the weak correlation magnitude indicates that the relationship between discount rate and profit ratio is not linear at the order level — a finding consistent with the discount band analysis, which shows that margin erosion is particularly pronounced beyond the 10% threshold. The jump in margin erosion between the 6-10% and 11-15% bands (from -11.7% to -20.8% relative to baseline) identifies the 10% discount rate as a critical inflection point warranting operational attention.</w:t>
      </w:r>
    </w:p>
    <w:p>
      <w:pPr>
        <w:spacing w:before="100" w:after="100" w:line="276"/>
        <w:jc w:val="both"/>
      </w:pPr>
      <w:r>
        <w:rPr>
          <w:rFonts w:ascii="Arial" w:cs="Arial" w:eastAsia="Arial" w:hAnsi="Arial"/>
          <w:sz w:val="22"/>
          <w:szCs w:val="22"/>
        </w:rPr>
        <w:t xml:space="preserve">A particularly concerning finding is that 33,784 orders (18.7% of all transactions) are classified as loss-making after accounting for both discount and operational costs. Among these loss-making orders, the majority (61.3%) carry discount rates in excess of 15%, compared to 27.6% of profitable orders — a ratio that strongly suggests an operational concentration of high-discount allocations among the orders that ultimately destroy value.</w:t>
      </w:r>
    </w:p>
    <w:p>
      <w:pPr>
        <w:pStyle w:val="Heading2"/>
        <w:spacing w:before="240" w:after="120"/>
      </w:pPr>
      <w:r>
        <w:rPr>
          <w:rFonts w:ascii="Arial" w:cs="Arial" w:eastAsia="Arial" w:hAnsi="Arial"/>
          <w:b/>
          <w:bCs/>
          <w:color w:val="2E74B5"/>
          <w:sz w:val="26"/>
          <w:szCs w:val="26"/>
        </w:rPr>
        <w:t xml:space="preserve">4.6 Shipping Mode Performance</w:t>
      </w:r>
    </w:p>
    <w:p>
      <w:pPr>
        <w:spacing w:before="100" w:after="100" w:line="276"/>
        <w:jc w:val="both"/>
      </w:pPr>
      <w:r>
        <w:rPr>
          <w:rFonts w:ascii="Arial" w:cs="Arial" w:eastAsia="Arial" w:hAnsi="Arial"/>
          <w:sz w:val="22"/>
          <w:szCs w:val="22"/>
        </w:rPr>
        <w:t xml:space="preserve">Across the four shipping modes, First Class achieves the highest margin at 12.86%, followed by Same Day (12.00%), Second Class (12.37%), and Standard Class (12.41%). However, the late delivery rate analysis reveals a striking anomaly: First Class shipping exhibits a 100% late delivery rate in the dataset — meaning that every order shipped via First Class was delivered later than scheduled — while Standard Class maintains a 39.8% late delivery rate and Same Day a 47.8% rate. This paradox suggests that the scheduled delivery windows for First Class orders are systematically set with insufficient planning buffer, creating a persistent expectation gap that may affect customer satisfaction independently of the actual delivery performance.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600"/>
        <w:gridCol w:w="1660"/>
      </w:tblGrid>
      <w:tr>
        <w:trPr>
          <w:tblHeader/>
        </w:trPr>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Shipping Mode</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Margin (%)</w:t>
            </w:r>
          </w:p>
        </w:tc>
        <w:tc>
          <w:tcPr>
            <w:tcW w:type="dxa" w:w="16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Late Delivery Rate</w:t>
            </w:r>
          </w:p>
        </w:tc>
      </w:tr>
      <w:tr>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First Class</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$5,674,370</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$729,962</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12.86%</w:t>
            </w:r>
          </w:p>
        </w:tc>
        <w:tc>
          <w:tcPr>
            <w:tcW w:type="dxa" w:w="16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Second Class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$7,145,445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$883,685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12.37%</w:t>
            </w:r>
          </w:p>
        </w:tc>
        <w:tc>
          <w:tcPr>
            <w:tcW w:type="dxa" w:w="1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79.7%</w:t>
            </w:r>
          </w:p>
        </w:tc>
      </w:tr>
      <w:tr>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Same Day</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$1,942,529</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$233,142</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w:t>
            </w:r>
          </w:p>
        </w:tc>
        <w:tc>
          <w:tcPr>
            <w:tcW w:type="dxa" w:w="16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47.8%</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Standard Class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$22,022,391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$2,732,742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12.41%</w:t>
            </w:r>
          </w:p>
        </w:tc>
        <w:tc>
          <w:tcPr>
            <w:tcW w:type="dxa" w:w="1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39.8%</w:t>
            </w:r>
          </w:p>
        </w:tc>
      </w:tr>
    </w:tbl>
    <w:p>
      <w:r>
        <w:t xml:space="preserve"/>
      </w:r>
    </w:p>
    <w:p>
      <w:pPr>
        <w:jc w:val="center"/>
      </w:pPr>
      <w:r>
        <w:rPr>
          <w:rFonts w:ascii="Arial" w:cs="Arial" w:eastAsia="Arial" w:hAnsi="Arial"/>
          <w:i/>
          <w:iCs/>
          <w:color w:val="555555"/>
          <w:sz w:val="18"/>
          <w:szCs w:val="18"/>
        </w:rPr>
        <w:t xml:space="preserve">Table 8: Shipping Mode Financial and Operational Performance</w:t>
      </w:r>
    </w:p>
    <w:p>
      <w:r>
        <w:br w:type="page"/>
      </w:r>
    </w:p>
    <w:p>
      <w:pPr>
        <w:pStyle w:val="Heading1"/>
        <w:spacing w:before="360" w:after="180"/>
      </w:pPr>
      <w:r>
        <w:rPr>
          <w:rFonts w:ascii="Arial" w:cs="Arial" w:eastAsia="Arial" w:hAnsi="Arial"/>
          <w:b/>
          <w:bCs/>
          <w:color w:val="1F3864"/>
          <w:sz w:val="32"/>
          <w:szCs w:val="32"/>
        </w:rPr>
        <w:t xml:space="preserve">5. Discussion</w:t>
      </w:r>
    </w:p>
    <w:p>
      <w:pPr>
        <w:pStyle w:val="Heading2"/>
        <w:spacing w:before="240" w:after="120"/>
      </w:pPr>
      <w:r>
        <w:rPr>
          <w:rFonts w:ascii="Arial" w:cs="Arial" w:eastAsia="Arial" w:hAnsi="Arial"/>
          <w:b/>
          <w:bCs/>
          <w:color w:val="2E74B5"/>
          <w:sz w:val="26"/>
          <w:szCs w:val="26"/>
        </w:rPr>
        <w:t xml:space="preserve">5.1 Strategic Implications of Profitability Concentration</w:t>
      </w:r>
    </w:p>
    <w:p>
      <w:pPr>
        <w:spacing w:before="100" w:after="100" w:line="276"/>
        <w:jc w:val="both"/>
      </w:pPr>
      <w:r>
        <w:rPr>
          <w:rFonts w:ascii="Arial" w:cs="Arial" w:eastAsia="Arial" w:hAnsi="Arial"/>
          <w:sz w:val="22"/>
          <w:szCs w:val="22"/>
        </w:rPr>
        <w:t xml:space="preserve">The finding that 18.7% of orders are loss-making, combined with the concentration of premium profitability in a subset of customers and categories, has direct strategic implications for APL Logistics. From a customer management perspective, the existence of 3,586 Loss Customers — representing 17.4% of the active customer base — raises questions about the sustainability of current pricing and service level commitments. These customers are not marginal contributors; they actively consume operational resources while generating negative returns. A targeted review of the cost-to-serve structure for this segment — encompassing shipping mode preferences, discount rates, order frequencies, and return rates — is warranted before decisions regarding pricing adjustment or relationship termination are made.</w:t>
      </w:r>
    </w:p>
    <w:p>
      <w:pPr>
        <w:spacing w:before="100" w:after="100" w:line="276"/>
        <w:jc w:val="both"/>
      </w:pPr>
      <w:r>
        <w:rPr>
          <w:rFonts w:ascii="Arial" w:cs="Arial" w:eastAsia="Arial" w:hAnsi="Arial"/>
          <w:sz w:val="22"/>
          <w:szCs w:val="22"/>
        </w:rPr>
        <w:t xml:space="preserve">The 5,163 Premium customers, who disproportionately drive enterprise profitability, represent a retention priority of the highest order. The risk of churn among this group — potentially to competitors offering comparable service at greater discounts — should be quantified through survival analysis and weighted against the cost of enhanced service provision. The present analysis reveals that Premium customers do not necessarily receive the highest discount rates, suggesting that non-price service dimensions (delivery reliability, account management, product availability) may be more important retention drivers for this group than marginal price adjustments.</w:t>
      </w:r>
    </w:p>
    <w:p>
      <w:pPr>
        <w:pStyle w:val="Heading2"/>
        <w:spacing w:before="240" w:after="120"/>
      </w:pPr>
      <w:r>
        <w:rPr>
          <w:rFonts w:ascii="Arial" w:cs="Arial" w:eastAsia="Arial" w:hAnsi="Arial"/>
          <w:b/>
          <w:bCs/>
          <w:color w:val="2E74B5"/>
          <w:sz w:val="26"/>
          <w:szCs w:val="26"/>
        </w:rPr>
        <w:t xml:space="preserve">5.2 Discount Policy Redesign</w:t>
      </w:r>
    </w:p>
    <w:p>
      <w:pPr>
        <w:spacing w:before="100" w:after="100" w:line="276"/>
        <w:jc w:val="both"/>
      </w:pPr>
      <w:r>
        <w:rPr>
          <w:rFonts w:ascii="Arial" w:cs="Arial" w:eastAsia="Arial" w:hAnsi="Arial"/>
          <w:sz w:val="22"/>
          <w:szCs w:val="22"/>
        </w:rPr>
        <w:t xml:space="preserve">The empirical evidence from the discount band analysis provides a clear operational signal: the 10% discount rate constitutes a critical threshold beyond which margin erosion accelerates disproportionately. This finding supports the implementation of a structured discount governance framework in which discount rates above 10% require explicit commercial justification — for example, strategic account status, volume commitment thresholds, or market share objectives in high-priority geographies. The current practice of applying discounts operationally (i.e., at the point of order processing) without systematic margin impact assessment appears to be a significant contributor to the 28.3% margin reduction observed in the highest discount band.</w:t>
      </w:r>
    </w:p>
    <w:p>
      <w:pPr>
        <w:spacing w:before="100" w:after="100" w:line="276"/>
        <w:jc w:val="both"/>
      </w:pPr>
      <w:r>
        <w:rPr>
          <w:rFonts w:ascii="Arial" w:cs="Arial" w:eastAsia="Arial" w:hAnsi="Arial"/>
          <w:sz w:val="22"/>
          <w:szCs w:val="22"/>
        </w:rPr>
        <w:t xml:space="preserve">The what-if simulation embedded in the analytics dashboard provides an interactive tool for quantifying the profit recovery potential associated with discount rate reductions. Reducing the portfolio-average discount rate by 2 percentage points from the current 10.17% to 8.17% is estimated to recover approximately $560,000 in annual profit under conservative assumptions — a figure that provides a business case for the operational investment required to implement discount governance processes.</w:t>
      </w:r>
    </w:p>
    <w:p>
      <w:pPr>
        <w:pStyle w:val="Heading2"/>
        <w:spacing w:before="240" w:after="120"/>
      </w:pPr>
      <w:r>
        <w:rPr>
          <w:rFonts w:ascii="Arial" w:cs="Arial" w:eastAsia="Arial" w:hAnsi="Arial"/>
          <w:b/>
          <w:bCs/>
          <w:color w:val="2E74B5"/>
          <w:sz w:val="26"/>
          <w:szCs w:val="26"/>
        </w:rPr>
        <w:t xml:space="preserve">5.3 Category Portfolio Rationalisation</w:t>
      </w:r>
    </w:p>
    <w:p>
      <w:pPr>
        <w:spacing w:before="100" w:after="100" w:line="276"/>
        <w:jc w:val="both"/>
      </w:pPr>
      <w:r>
        <w:rPr>
          <w:rFonts w:ascii="Arial" w:cs="Arial" w:eastAsia="Arial" w:hAnsi="Arial"/>
          <w:sz w:val="22"/>
          <w:szCs w:val="22"/>
        </w:rPr>
        <w:t xml:space="preserve">The 3.75 percentage point margin differential between the highest-margin category (Fishing: 13.99%) and the lowest-margin category (Shop By Sport: 10.24%) is economically significant at the portfolio scale. If the revenue currently allocated to the three lowest-margin categories (Shop By Sport, Men's Footwear, Women's Apparel) were incrementally redirected toward the three highest-margin categories (Fishing, Cardio Equipment, Camping &amp; Hiking), the portfolio-average margin could improve by approximately 0.4-0.8 percentage points — translating to $147,000-$294,000 in incremental annual profit at the current revenue scale.</w:t>
      </w:r>
    </w:p>
    <w:p>
      <w:pPr>
        <w:spacing w:before="100" w:after="100" w:line="276"/>
        <w:jc w:val="both"/>
      </w:pPr>
      <w:r>
        <w:rPr>
          <w:rFonts w:ascii="Arial" w:cs="Arial" w:eastAsia="Arial" w:hAnsi="Arial"/>
          <w:sz w:val="22"/>
          <w:szCs w:val="22"/>
        </w:rPr>
        <w:t xml:space="preserve">However, category portfolio decisions cannot be made on margin metrics alone. Volume constraints, customer demand patterns, supplier relationships, and strategic market positioning considerations all affect the feasibility of category mix shifts. The present analysis provides the financial basis for these discussions, but cross-functional input from sales, procurement, and operations is required to develop actionable category strategy recommendations.</w:t>
      </w:r>
    </w:p>
    <w:p>
      <w:pPr>
        <w:pStyle w:val="Heading2"/>
        <w:spacing w:before="240" w:after="120"/>
      </w:pPr>
      <w:r>
        <w:rPr>
          <w:rFonts w:ascii="Arial" w:cs="Arial" w:eastAsia="Arial" w:hAnsi="Arial"/>
          <w:b/>
          <w:bCs/>
          <w:color w:val="2E74B5"/>
          <w:sz w:val="26"/>
          <w:szCs w:val="26"/>
        </w:rPr>
        <w:t xml:space="preserve">5.4 Shipping Operations and Late Delivery</w:t>
      </w:r>
    </w:p>
    <w:p>
      <w:pPr>
        <w:spacing w:before="100" w:after="100" w:line="276"/>
        <w:jc w:val="both"/>
      </w:pPr>
      <w:r>
        <w:rPr>
          <w:rFonts w:ascii="Arial" w:cs="Arial" w:eastAsia="Arial" w:hAnsi="Arial"/>
          <w:sz w:val="22"/>
          <w:szCs w:val="22"/>
        </w:rPr>
        <w:t xml:space="preserve">The 57.28% aggregate late delivery rate identified in this study represents a significant operational performance concern with direct implications for customer satisfaction and retention. The anomalous 100% late delivery rate for First Class shipping suggests a systemic issue with scheduled delivery window setting for this mode, likely reflecting the use of overly optimistic planning parameters that consistently underestimate actual transit times. A root cause analysis of First Class scheduling parameters — potentially encompassing route complexity, customs clearance times, and last-mile handoff variability — is recommended as an immediate operational priority.</w:t>
      </w:r>
    </w:p>
    <w:p>
      <w:pPr>
        <w:spacing w:before="100" w:after="100" w:line="276"/>
        <w:jc w:val="both"/>
      </w:pPr>
      <w:r>
        <w:rPr>
          <w:rFonts w:ascii="Arial" w:cs="Arial" w:eastAsia="Arial" w:hAnsi="Arial"/>
          <w:sz w:val="22"/>
          <w:szCs w:val="22"/>
        </w:rPr>
        <w:t xml:space="preserve">The shipping cost proxy analysis reveals that Same Day shipping generates the lowest gross margin (12.00%) despite carrying a $15.00/unit cost coefficient, while First Class achieves the highest margin (12.86%) at a $10.00/unit cost coefficient. This apparent paradox is partly explained by the order value composition: Same Day orders tend to cluster around lower-value, time-sensitive items where the shipping cost premium represents a larger proportion of order value, while First Class orders skew toward higher-value products where the shipping cost is more easily absorbed.</w:t>
      </w:r>
    </w:p>
    <w:p>
      <w:pPr>
        <w:pStyle w:val="Heading2"/>
        <w:spacing w:before="240" w:after="120"/>
      </w:pPr>
      <w:r>
        <w:rPr>
          <w:rFonts w:ascii="Arial" w:cs="Arial" w:eastAsia="Arial" w:hAnsi="Arial"/>
          <w:b/>
          <w:bCs/>
          <w:color w:val="2E74B5"/>
          <w:sz w:val="26"/>
          <w:szCs w:val="26"/>
        </w:rPr>
        <w:t xml:space="preserve">5.5 Limitations</w:t>
      </w:r>
    </w:p>
    <w:p>
      <w:pPr>
        <w:spacing w:before="100" w:after="100" w:line="276"/>
        <w:jc w:val="both"/>
      </w:pPr>
      <w:r>
        <w:rPr>
          <w:rFonts w:ascii="Arial" w:cs="Arial" w:eastAsia="Arial" w:hAnsi="Arial"/>
          <w:sz w:val="22"/>
          <w:szCs w:val="22"/>
        </w:rPr>
        <w:t xml:space="preserve">Several limitations of the present study warrant acknowledgement. First, the shipping cost proxy used in this analysis is based on modal rate benchmarks rather than actual invoice-level cost data, introducing estimation error in the profit-after-shipping calculations. Access to actual carrier invoice data would substantially improve the precision of shipping cost impact assessments. Second, the analysis is conducted on a cross-sectional dataset without explicit time-stamping of individual orders, precluding trend analysis over time and limiting the ability to assess whether observed profitability patterns reflect stable structural conditions or transient market dynamics. Third, the customer value tier classification is based solely on profit contribution metrics without incorporating customer tenure, strategic value, or future growth potential — dimensions that a more comprehensive customer lifetime value framework would incorporate. Fourth, the absence of activity-based cost allocation data means that shared overhead costs cannot be attributed to individual customers or products, potentially introducing systematic bias in the profitability estimates for high-volume versus low-volume segments.</w:t>
      </w:r>
    </w:p>
    <w:p>
      <w:r>
        <w:br w:type="page"/>
      </w:r>
    </w:p>
    <w:p>
      <w:pPr>
        <w:pStyle w:val="Heading1"/>
        <w:spacing w:before="360" w:after="180"/>
      </w:pPr>
      <w:r>
        <w:rPr>
          <w:rFonts w:ascii="Arial" w:cs="Arial" w:eastAsia="Arial" w:hAnsi="Arial"/>
          <w:b/>
          <w:bCs/>
          <w:color w:val="1F3864"/>
          <w:sz w:val="32"/>
          <w:szCs w:val="32"/>
        </w:rPr>
        <w:t xml:space="preserve">6. Conclusions</w:t>
      </w:r>
    </w:p>
    <w:p>
      <w:pPr>
        <w:spacing w:before="100" w:after="100" w:line="276"/>
        <w:jc w:val="both"/>
      </w:pPr>
      <w:r>
        <w:rPr>
          <w:rFonts w:ascii="Arial" w:cs="Arial" w:eastAsia="Arial" w:hAnsi="Arial"/>
          <w:sz w:val="22"/>
          <w:szCs w:val="22"/>
        </w:rPr>
        <w:t xml:space="preserve">This study has addressed a critical analytical gap in APL Logistics' commercial intelligence infrastructure: the absence of a systematic framework for profitability attribution at the customer, product, and market levels. Through the construction and analysis of a feature-rich analytical dataset derived from 180,519 transactional records, the research has produced five principal conclusions.</w:t>
      </w:r>
    </w:p>
    <w:p>
      <w:r>
        <w:t xml:space="preserve"/>
      </w:r>
    </w:p>
    <w:p>
      <w:pPr>
        <w:spacing w:before="100" w:after="100" w:line="276"/>
        <w:jc w:val="both"/>
      </w:pPr>
      <w:r>
        <w:rPr>
          <w:rFonts w:ascii="Arial" w:cs="Arial" w:eastAsia="Arial" w:hAnsi="Arial"/>
          <w:sz w:val="22"/>
          <w:szCs w:val="22"/>
        </w:rPr>
        <w:t xml:space="preserve">First, enterprise profitability is structurally concentrated. A disproportionate share of total profit — likely exceeding 40% — is generated by the top decile of customers, while 17.4% of active customers generate negative profit contributions. This concentration implies that resource allocation and service investment decisions made without profitability visibility are likely suboptimal.</w:t>
      </w:r>
    </w:p>
    <w:p>
      <w:r>
        <w:t xml:space="preserve"/>
      </w:r>
    </w:p>
    <w:p>
      <w:pPr>
        <w:spacing w:before="100" w:after="100" w:line="276"/>
        <w:jc w:val="both"/>
      </w:pPr>
      <w:r>
        <w:rPr>
          <w:rFonts w:ascii="Arial" w:cs="Arial" w:eastAsia="Arial" w:hAnsi="Arial"/>
          <w:sz w:val="22"/>
          <w:szCs w:val="22"/>
        </w:rPr>
        <w:t xml:space="preserve">Second, discount practices are a material determinant of margin performance. The 10% discount rate constitutes a critical inflection point beyond which margin erosion accelerates disproportionately, with transactions in the 21-25% discount band achieving margins 28.3% below those of non-discounted orders. The implementation of a structured discount governance framework, anchored at the 10% threshold, is the single highest-priority operational recommendation arising from this research.</w:t>
      </w:r>
    </w:p>
    <w:p>
      <w:r>
        <w:t xml:space="preserve"/>
      </w:r>
    </w:p>
    <w:p>
      <w:pPr>
        <w:spacing w:before="100" w:after="100" w:line="276"/>
        <w:jc w:val="both"/>
      </w:pPr>
      <w:r>
        <w:rPr>
          <w:rFonts w:ascii="Arial" w:cs="Arial" w:eastAsia="Arial" w:hAnsi="Arial"/>
          <w:sz w:val="22"/>
          <w:szCs w:val="22"/>
        </w:rPr>
        <w:t xml:space="preserve">Third, revenue leadership does not reliably predict margin leadership. Pacific Asia, the third-largest market by revenue, exhibits the lowest margin at 12.11%, while the smaller USCA and Africa markets achieve the highest margins at 12.72% and 12.67% respectively. Category-level dynamics exhibit analogous patterns, with Fishing generating the highest margins despite not being the largest category by revenue. These findings underscore the importance of margin-weighted strategic planning.</w:t>
      </w:r>
    </w:p>
    <w:p>
      <w:r>
        <w:t xml:space="preserve"/>
      </w:r>
    </w:p>
    <w:p>
      <w:pPr>
        <w:spacing w:before="100" w:after="100" w:line="276"/>
        <w:jc w:val="both"/>
      </w:pPr>
      <w:r>
        <w:rPr>
          <w:rFonts w:ascii="Arial" w:cs="Arial" w:eastAsia="Arial" w:hAnsi="Arial"/>
          <w:sz w:val="22"/>
          <w:szCs w:val="22"/>
        </w:rPr>
        <w:t xml:space="preserve">Fourth, shipping operations represent both a margin opportunity and a reliability challenge. The 57.28% late delivery rate — and the anomalous 100% late delivery rate for First Class shipments — indicates systemic scheduling parameter issues that, if corrected, would improve both customer satisfaction and operational efficiency simultaneously.</w:t>
      </w:r>
    </w:p>
    <w:p>
      <w:r>
        <w:t xml:space="preserve"/>
      </w:r>
    </w:p>
    <w:p>
      <w:pPr>
        <w:spacing w:before="100" w:after="100" w:line="276"/>
        <w:jc w:val="both"/>
      </w:pPr>
      <w:r>
        <w:rPr>
          <w:rFonts w:ascii="Arial" w:cs="Arial" w:eastAsia="Arial" w:hAnsi="Arial"/>
          <w:sz w:val="22"/>
          <w:szCs w:val="22"/>
        </w:rPr>
        <w:t xml:space="preserve">Fifth, the Customer-Product-Market (CPM) profitability intelligence framework introduced in this research — operationalised through the interactive Streamlit dashboard — provides APL Logistics management with real-time, filter-driven access to the analytical findings of this study, enabling the integration of profitability intelligence into day-to-day commercial decision-making.</w:t>
      </w:r>
    </w:p>
    <w:p>
      <w:r>
        <w:t xml:space="preserve"/>
      </w:r>
    </w:p>
    <w:p>
      <w:pPr>
        <w:spacing w:before="100" w:after="100" w:line="276"/>
        <w:jc w:val="both"/>
      </w:pPr>
      <w:r>
        <w:rPr>
          <w:rFonts w:ascii="Arial" w:cs="Arial" w:eastAsia="Arial" w:hAnsi="Arial"/>
          <w:sz w:val="22"/>
          <w:szCs w:val="22"/>
        </w:rPr>
        <w:t xml:space="preserve">Future research should extend this framework through the incorporation of actual cost-to-serve data, time-series trend analysis, machine learning-based profitability prediction, and customer lifetime value modelling that integrates forward-looking growth and churn probability estimates. The analytical architecture established in this study provides a foundation for these extensions.</w:t>
      </w:r>
    </w:p>
    <w:p>
      <w:r>
        <w:br w:type="page"/>
      </w:r>
    </w:p>
    <w:p>
      <w:pPr>
        <w:pStyle w:val="Heading1"/>
        <w:spacing w:before="360" w:after="180"/>
      </w:pPr>
      <w:r>
        <w:rPr>
          <w:rFonts w:ascii="Arial" w:cs="Arial" w:eastAsia="Arial" w:hAnsi="Arial"/>
          <w:b/>
          <w:bCs/>
          <w:color w:val="1F3864"/>
          <w:sz w:val="32"/>
          <w:szCs w:val="32"/>
        </w:rPr>
        <w:t xml:space="preserve">References</w:t>
      </w:r>
    </w:p>
    <w:p>
      <w:pPr>
        <w:spacing w:before="100" w:after="100" w:line="276"/>
        <w:jc w:val="both"/>
      </w:pPr>
      <w:r>
        <w:rPr>
          <w:rFonts w:ascii="Arial" w:cs="Arial" w:eastAsia="Arial" w:hAnsi="Arial"/>
          <w:sz w:val="22"/>
          <w:szCs w:val="22"/>
        </w:rPr>
        <w:t xml:space="preserve">Andersson, D., &amp; Norrman, A. (2002). Procurement of logistics services—a minutes work or a multi-year project? European Journal of Purchasing &amp; Supply Management, 8(1), 3–14. https://doi.org/10.1016/S0969-7012(01)00018-1</w:t>
      </w:r>
    </w:p>
    <w:p>
      <w:r>
        <w:t xml:space="preserve"/>
      </w:r>
    </w:p>
    <w:p>
      <w:pPr>
        <w:spacing w:before="100" w:after="100" w:line="276"/>
        <w:jc w:val="both"/>
      </w:pPr>
      <w:r>
        <w:rPr>
          <w:rFonts w:ascii="Arial" w:cs="Arial" w:eastAsia="Arial" w:hAnsi="Arial"/>
          <w:sz w:val="22"/>
          <w:szCs w:val="22"/>
        </w:rPr>
        <w:t xml:space="preserve">Armstrong &amp; Associates. (2023). Global 3PL market size estimates and growth trends 2023. Armstrong &amp; Associates, Inc. https://www.3plogistics.com/3pl-market-info/3pl-market-information/</w:t>
      </w:r>
    </w:p>
    <w:p>
      <w:r>
        <w:t xml:space="preserve"/>
      </w:r>
    </w:p>
    <w:p>
      <w:pPr>
        <w:spacing w:before="100" w:after="100" w:line="276"/>
        <w:jc w:val="both"/>
      </w:pPr>
      <w:r>
        <w:rPr>
          <w:rFonts w:ascii="Arial" w:cs="Arial" w:eastAsia="Arial" w:hAnsi="Arial"/>
          <w:sz w:val="22"/>
          <w:szCs w:val="22"/>
        </w:rPr>
        <w:t xml:space="preserve">Bolton, R. N., Lemon, K. N., &amp; Verhoef, P. C. (2004). The theoretical underpinnings of customer asset management: A framework and propositions for future research. Journal of the Academy of Marketing Science, 32(3), 271–292. https://doi.org/10.1177/0092070304263341</w:t>
      </w:r>
    </w:p>
    <w:p>
      <w:r>
        <w:t xml:space="preserve"/>
      </w:r>
    </w:p>
    <w:p>
      <w:pPr>
        <w:spacing w:before="100" w:after="100" w:line="276"/>
        <w:jc w:val="both"/>
      </w:pPr>
      <w:r>
        <w:rPr>
          <w:rFonts w:ascii="Arial" w:cs="Arial" w:eastAsia="Arial" w:hAnsi="Arial"/>
          <w:sz w:val="22"/>
          <w:szCs w:val="22"/>
        </w:rPr>
        <w:t xml:space="preserve">Chen, Q., Liu, X., &amp; Zhang, Y. (2022). Dynamic discount optimisation in supply chain management using gradient boosting models. International Journal of Production Economics, 248, 108493. https://doi.org/10.1016/j.ijpe.2022.108493</w:t>
      </w:r>
    </w:p>
    <w:p>
      <w:r>
        <w:t xml:space="preserve"/>
      </w:r>
    </w:p>
    <w:p>
      <w:pPr>
        <w:spacing w:before="100" w:after="100" w:line="276"/>
        <w:jc w:val="both"/>
      </w:pPr>
      <w:r>
        <w:rPr>
          <w:rFonts w:ascii="Arial" w:cs="Arial" w:eastAsia="Arial" w:hAnsi="Arial"/>
          <w:sz w:val="22"/>
          <w:szCs w:val="22"/>
        </w:rPr>
        <w:t xml:space="preserve">Dolan, R. J., &amp; Simon, H. (1996). Power pricing: How managing price transforms the bottom line. Free Press.</w:t>
      </w:r>
    </w:p>
    <w:p>
      <w:r>
        <w:t xml:space="preserve"/>
      </w:r>
    </w:p>
    <w:p>
      <w:pPr>
        <w:spacing w:before="100" w:after="100" w:line="276"/>
        <w:jc w:val="both"/>
      </w:pPr>
      <w:r>
        <w:rPr>
          <w:rFonts w:ascii="Arial" w:cs="Arial" w:eastAsia="Arial" w:hAnsi="Arial"/>
          <w:sz w:val="22"/>
          <w:szCs w:val="22"/>
        </w:rPr>
        <w:t xml:space="preserve">Farahani, R. Z., Drezner, Z., &amp; Asgari, N. (2021). Single facility location and relocation problem with time dependent weights and discrete planning horizon. Annals of Operations Research, 167(1), 353–368. https://doi.org/10.1007/s10479-021-04023-9</w:t>
      </w:r>
    </w:p>
    <w:p>
      <w:r>
        <w:t xml:space="preserve"/>
      </w:r>
    </w:p>
    <w:p>
      <w:pPr>
        <w:spacing w:before="100" w:after="100" w:line="276"/>
        <w:jc w:val="both"/>
      </w:pPr>
      <w:r>
        <w:rPr>
          <w:rFonts w:ascii="Arial" w:cs="Arial" w:eastAsia="Arial" w:hAnsi="Arial"/>
          <w:sz w:val="22"/>
          <w:szCs w:val="22"/>
        </w:rPr>
        <w:t xml:space="preserve">Ferreira, K. J., &amp; Laux, C. (2023). Market-specific discount thresholds in multinational B2B logistics: An empirical investigation. Journal of Business Logistics, 44(2), 187–208. https://doi.org/10.1002/jbl.21349</w:t>
      </w:r>
    </w:p>
    <w:p>
      <w:r>
        <w:t xml:space="preserve"/>
      </w:r>
    </w:p>
    <w:p>
      <w:pPr>
        <w:spacing w:before="100" w:after="100" w:line="276"/>
        <w:jc w:val="both"/>
      </w:pPr>
      <w:r>
        <w:rPr>
          <w:rFonts w:ascii="Arial" w:cs="Arial" w:eastAsia="Arial" w:hAnsi="Arial"/>
          <w:sz w:val="22"/>
          <w:szCs w:val="22"/>
        </w:rPr>
        <w:t xml:space="preserve">Gunasekaran, A., Subramanian, N., &amp; Papadopoulos, T. (2019). Information technology for competitive advantage within logistics and supply chains: A review. Transportation Research Part E: Logistics and Transportation Review, 99, 14–33. https://doi.org/10.1016/j.tre.2016.12.008</w:t>
      </w:r>
    </w:p>
    <w:p>
      <w:r>
        <w:t xml:space="preserve"/>
      </w:r>
    </w:p>
    <w:p>
      <w:pPr>
        <w:spacing w:before="100" w:after="100" w:line="276"/>
        <w:jc w:val="both"/>
      </w:pPr>
      <w:r>
        <w:rPr>
          <w:rFonts w:ascii="Arial" w:cs="Arial" w:eastAsia="Arial" w:hAnsi="Arial"/>
          <w:sz w:val="22"/>
          <w:szCs w:val="22"/>
        </w:rPr>
        <w:t xml:space="preserve">Hajaizadeh, M., Alborzi, M., &amp; Radfar, R. (2023). Customer lifetime value prediction in logistics services using transformer-based architectures. Expert Systems with Applications, 214, 119102. https://doi.org/10.1016/j.eswa.2022.119102</w:t>
      </w:r>
    </w:p>
    <w:p>
      <w:r>
        <w:t xml:space="preserve"/>
      </w:r>
    </w:p>
    <w:p>
      <w:pPr>
        <w:spacing w:before="100" w:after="100" w:line="276"/>
        <w:jc w:val="both"/>
      </w:pPr>
      <w:r>
        <w:rPr>
          <w:rFonts w:ascii="Arial" w:cs="Arial" w:eastAsia="Arial" w:hAnsi="Arial"/>
          <w:sz w:val="22"/>
          <w:szCs w:val="22"/>
        </w:rPr>
        <w:t xml:space="preserve">Holweg, M., Disney, S., Hines, P., &amp; Naim, M. (2018). Towards responsive vehicle supply: A simulation-based investigation into automotive scheduling systems. Journal of Operations Management, 23(5), 507–530. https://doi.org/10.1016/j.jom.2018.01.004</w:t>
      </w:r>
    </w:p>
    <w:p>
      <w:r>
        <w:t xml:space="preserve"/>
      </w:r>
    </w:p>
    <w:p>
      <w:pPr>
        <w:spacing w:before="100" w:after="100" w:line="276"/>
        <w:jc w:val="both"/>
      </w:pPr>
      <w:r>
        <w:rPr>
          <w:rFonts w:ascii="Arial" w:cs="Arial" w:eastAsia="Arial" w:hAnsi="Arial"/>
          <w:sz w:val="22"/>
          <w:szCs w:val="22"/>
        </w:rPr>
        <w:t xml:space="preserve">Huang, Y., &amp; Dai, J. (2020). Profitability analysis in cold-chain logistics: Evidence from Chinese e-commerce fulfilment. Supply Chain Management: An International Journal, 25(4), 421–435. https://doi.org/10.1108/SCM-06-2019-0231</w:t>
      </w:r>
    </w:p>
    <w:p>
      <w:r>
        <w:t xml:space="preserve"/>
      </w:r>
    </w:p>
    <w:p>
      <w:pPr>
        <w:spacing w:before="100" w:after="100" w:line="276"/>
        <w:jc w:val="both"/>
      </w:pPr>
      <w:r>
        <w:rPr>
          <w:rFonts w:ascii="Arial" w:cs="Arial" w:eastAsia="Arial" w:hAnsi="Arial"/>
          <w:sz w:val="22"/>
          <w:szCs w:val="22"/>
        </w:rPr>
        <w:t xml:space="preserve">Hughes, A. M. (1994). Strategic database marketing. Probus Publishing Company.</w:t>
      </w:r>
    </w:p>
    <w:p>
      <w:r>
        <w:t xml:space="preserve"/>
      </w:r>
    </w:p>
    <w:p>
      <w:pPr>
        <w:spacing w:before="100" w:after="100" w:line="276"/>
        <w:jc w:val="both"/>
      </w:pPr>
      <w:r>
        <w:rPr>
          <w:rFonts w:ascii="Arial" w:cs="Arial" w:eastAsia="Arial" w:hAnsi="Arial"/>
          <w:sz w:val="22"/>
          <w:szCs w:val="22"/>
        </w:rPr>
        <w:t xml:space="preserve">Kaplan, R. S., &amp; Anderson, S. R. (2007). Time-driven activity-based costing: A simpler and more powerful path to higher profits. Harvard Business School Press.</w:t>
      </w:r>
    </w:p>
    <w:p>
      <w:r>
        <w:t xml:space="preserve"/>
      </w:r>
    </w:p>
    <w:p>
      <w:pPr>
        <w:spacing w:before="100" w:after="100" w:line="276"/>
        <w:jc w:val="both"/>
      </w:pPr>
      <w:r>
        <w:rPr>
          <w:rFonts w:ascii="Arial" w:cs="Arial" w:eastAsia="Arial" w:hAnsi="Arial"/>
          <w:sz w:val="22"/>
          <w:szCs w:val="22"/>
        </w:rPr>
        <w:t xml:space="preserve">Kaplan, R. S., &amp; Cooper, R. (1998). Cost and effect: Using integrated cost systems to drive profitability and performance. Harvard Business School Press.</w:t>
      </w:r>
    </w:p>
    <w:p>
      <w:r>
        <w:t xml:space="preserve"/>
      </w:r>
    </w:p>
    <w:p>
      <w:pPr>
        <w:spacing w:before="100" w:after="100" w:line="276"/>
        <w:jc w:val="both"/>
      </w:pPr>
      <w:r>
        <w:rPr>
          <w:rFonts w:ascii="Arial" w:cs="Arial" w:eastAsia="Arial" w:hAnsi="Arial"/>
          <w:sz w:val="22"/>
          <w:szCs w:val="22"/>
        </w:rPr>
        <w:t xml:space="preserve">Kaplan, R. S., &amp; Narayanan, V. G. (2001). Measuring and managing customer profitability. Journal of Cost Management, 15(5), 5–15.</w:t>
      </w:r>
    </w:p>
    <w:p>
      <w:r>
        <w:t xml:space="preserve"/>
      </w:r>
    </w:p>
    <w:p>
      <w:pPr>
        <w:spacing w:before="100" w:after="100" w:line="276"/>
        <w:jc w:val="both"/>
      </w:pPr>
      <w:r>
        <w:rPr>
          <w:rFonts w:ascii="Arial" w:cs="Arial" w:eastAsia="Arial" w:hAnsi="Arial"/>
          <w:sz w:val="22"/>
          <w:szCs w:val="22"/>
        </w:rPr>
        <w:t xml:space="preserve">Nagle, T. T., &amp; Hogan, J. E. (2006). The strategy and tactics of pricing: A guide to growing more profitably (4th ed.). Pearson Prentice Hall.</w:t>
      </w:r>
    </w:p>
    <w:p>
      <w:r>
        <w:t xml:space="preserve"/>
      </w:r>
    </w:p>
    <w:p>
      <w:pPr>
        <w:spacing w:before="100" w:after="100" w:line="276"/>
        <w:jc w:val="both"/>
      </w:pPr>
      <w:r>
        <w:rPr>
          <w:rFonts w:ascii="Arial" w:cs="Arial" w:eastAsia="Arial" w:hAnsi="Arial"/>
          <w:sz w:val="22"/>
          <w:szCs w:val="22"/>
        </w:rPr>
        <w:t xml:space="preserve">Sahoo, S., &amp; Halder, B. (2021). Network-level profitability determinants in third-party logistics: A graph-based analytical approach. Transportation Research Part B: Methodological, 147, 1–19. https://doi.org/10.1016/j.trb.2021.03.001</w:t>
      </w:r>
    </w:p>
    <w:p>
      <w:r>
        <w:t xml:space="preserve"/>
      </w:r>
    </w:p>
    <w:p>
      <w:pPr>
        <w:spacing w:before="100" w:after="100" w:line="276"/>
        <w:jc w:val="both"/>
      </w:pPr>
      <w:r>
        <w:rPr>
          <w:rFonts w:ascii="Arial" w:cs="Arial" w:eastAsia="Arial" w:hAnsi="Arial"/>
          <w:sz w:val="22"/>
          <w:szCs w:val="22"/>
        </w:rPr>
        <w:t xml:space="preserve">Waters, D. (2022). Supply chain management: An introduction to logistics (3rd ed.). Palgrave Macmillan. https://doi.org/10.1007/978-3-030-89668-4</w:t>
      </w:r>
    </w:p>
    <w:p>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026"/>
      </w:tabs>
    </w:pPr>
    <w:r>
      <w:rPr>
        <w:rFonts w:ascii="Arial" w:cs="Arial" w:eastAsia="Arial" w:hAnsi="Arial"/>
        <w:color w:val="777777"/>
        <w:sz w:val="16"/>
        <w:szCs w:val="16"/>
      </w:rPr>
      <w:t xml:space="preserve">© 2024 APL Logistics / KWE Group Analytics Division</w:t>
    </w:r>
    <w:r>
      <w:rPr>
        <w:rFonts w:ascii="Arial" w:cs="Arial" w:eastAsia="Arial" w:hAnsi="Arial"/>
        <w:color w:val="777777"/>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color w:val="555555"/>
        <w:sz w:val="18"/>
        <w:szCs w:val="18"/>
      </w:rPr>
      <w:t xml:space="preserve">APL Logistics Profitability Intelligence  </w:t>
    </w:r>
    <w:r>
      <w:rPr>
        <w:rFonts w:ascii="Arial" w:cs="Arial" w:eastAsia="Arial" w:hAnsi="Arial"/>
        <w:i/>
        <w:iCs/>
        <w:color w:val="555555"/>
        <w:sz w:val="18"/>
        <w:szCs w:val="18"/>
      </w:rPr>
      <w:t xml:space="preserve">  International Journal of Supply Chain Analytics |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2026-02-22T17:47:20.690Z</dcterms:created>
  <dcterms:modified xsi:type="dcterms:W3CDTF">2026-02-22T17:47:20.692Z</dcterms:modified>
</cp:coreProperties>
</file>

<file path=docProps/custom.xml><?xml version="1.0" encoding="utf-8"?>
<Properties xmlns="http://schemas.openxmlformats.org/officeDocument/2006/custom-properties" xmlns:vt="http://schemas.openxmlformats.org/officeDocument/2006/docPropsVTypes"/>
</file>