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0" w:after="40" w:line="276" w:lineRule="auto"/>
      </w:pPr>
      <w:r>
        <w:rPr>
          <w:b/>
          <w:sz w:val="36"/>
          <w:color w:val="003366"/>
        </w:rPr>
        <w:t xml:space="preserve">PES UNIVERSITY</w:t>
      </w:r>
    </w:p>
    <w:p>
      <w:pPr>
        <w:jc w:val="center"/>
        <w:spacing w:before="0" w:after="120" w:line="276" w:lineRule="auto"/>
      </w:pPr>
      <w:r>
        <w:rPr>
          <w:b/>
          <w:sz w:val="24"/>
          <w:color w:val="555555"/>
        </w:rPr>
        <w:t xml:space="preserve">DEPARTMENT OF COMPUTER SCIENCE AND ENGINEERING</w:t>
      </w:r>
    </w:p>
    <w:p>
      <w:pPr>
        <w:jc w:val="center"/>
        <w:spacing w:before="60" w:after="180" w:line="276" w:lineRule="auto"/>
      </w:pPr>
      <w:r>
        <w:rPr>
          <w:b/>
          <w:sz w:val="28"/>
          <w:color w:val="005599"/>
        </w:rPr>
        <w:t xml:space="preserve">LAB 3 REPORT: COMPONENT MODELLING &amp; ARCHITECTURAL PATTERN SELECTION</w:t>
      </w:r>
    </w:p>
    <w:p>
      <w:pPr>
        <w:pBdr>
          <w:left w:val="single" w:sz="24" w:space="15" w:color="005599"/>
        </w:pBdr>
        <w:shd w:val="clear" w:color="auto" w:fill="F0F4F8"/>
        <w:spacing w:before="140" w:after="140"/>
        <w:ind w:left="240" w:right="240"/>
      </w:pPr>
      <w:r>
        <w:rPr>
          <w:b/>
          <w:sz w:val="22"/>
          <w:color w:val="003366"/>
        </w:rPr>
        <w:t xml:space="preserve">Student Details: </w:t>
      </w:r>
      <w:r>
        <w:rPr>
          <w:i/>
          <w:sz w:val="22"/>
          <w:color w:val="111111"/>
        </w:rPr>
        <w:t xml:space="preserve">Ganavi Gowda (SRN: PES1UG24CS707) | Course: Software Engineering Lab | Problem Statement #43: Feature Flag &amp; Dynamic Config Manager</w:t>
      </w:r>
    </w:p>
    <w:p>
      <w:pPr>
        <w:spacing w:before="240" w:after="120" w:line="276" w:lineRule="auto"/>
      </w:pPr>
      <w:r>
        <w:rPr>
          <w:b/>
          <w:sz w:val="32"/>
          <w:color w:val="003366"/>
        </w:rPr>
        <w:t xml:space="preserve">1. Objective &amp; Learning Outcomes</w:t>
      </w:r>
    </w:p>
    <w:p>
      <w:pPr>
        <w:spacing w:before="100" w:after="100" w:line="276" w:lineRule="auto"/>
      </w:pPr>
      <w:r>
        <w:rPr>
          <w:sz w:val="22"/>
          <w:color w:val="222222"/>
        </w:rPr>
        <w:t xml:space="preserve">The primary objective of this laboratory is to evaluate alternative architectural styles (Layered, Microservices, Client-Server), select the optimal pattern for the assigned system (Feature Flag &amp; Dynamic Config Manager), and create a formal UML 2.0 Component Diagram with provided/required interfaces, ports, and assembly connectors.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Architectural Evaluation: </w:t>
      </w:r>
      <w:r>
        <w:rPr>
          <w:sz w:val="22"/>
          <w:color w:val="222222"/>
        </w:rPr>
        <w:t xml:space="preserve">Compare and contrast Layered, Microservices, and Client-Server architectures.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Architecture Selection: </w:t>
      </w:r>
      <w:r>
        <w:rPr>
          <w:sz w:val="22"/>
          <w:color w:val="222222"/>
        </w:rPr>
        <w:t xml:space="preserve">Select and technically justify the optimal architecture based on latency, throughput, and fault isolation.</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Component Modelling: </w:t>
      </w:r>
      <w:r>
        <w:rPr>
          <w:sz w:val="22"/>
          <w:color w:val="222222"/>
        </w:rPr>
        <w:t xml:space="preserve">Construct UML 2.0 component diagrams using standard ball-and-socket notation and port definitions.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Technical Justification: </w:t>
      </w:r>
      <w:r>
        <w:rPr>
          <w:sz w:val="22"/>
          <w:color w:val="222222"/>
        </w:rPr>
        <w:t xml:space="preserve">Document concrete security boundaries and performance advantages.</w:t>
      </w:r>
    </w:p>
    <w:p>
      <w:pPr>
        <w:spacing w:before="240" w:after="120" w:line="276" w:lineRule="auto"/>
      </w:pPr>
      <w:r>
        <w:rPr>
          <w:b/>
          <w:sz w:val="32"/>
          <w:color w:val="003366"/>
        </w:rPr>
        <w:t xml:space="preserve">2. Architectural Style Analysis &amp; Comparison</w:t>
      </w:r>
    </w:p>
    <w:p>
      <w:pPr>
        <w:spacing w:before="100" w:after="100" w:line="276" w:lineRule="auto"/>
      </w:pPr>
      <w:r>
        <w:rPr>
          <w:sz w:val="22"/>
          <w:color w:val="222222"/>
        </w:rPr>
        <w:t xml:space="preserve">We analyzed three primary architectural styles against the functional and non-functional requirements of the Feature Flag &amp; Dynamic Config Manager:</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1. Layered (N-Tier) Architecture: </w:t>
      </w:r>
      <w:r>
        <w:rPr>
          <w:sz w:val="22"/>
          <w:color w:val="222222"/>
        </w:rPr>
        <w:t xml:space="preserve">Organized into horizontal Presentation, Business, and Persistence layers. While straightforward to develop, it couples high-throughput evaluation traffic with administrative CRUD operations, creating a database bottleneck and single point of failure.</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2. Traditional Client-Server Architecture: </w:t>
      </w:r>
      <w:r>
        <w:rPr>
          <w:sz w:val="22"/>
          <w:color w:val="222222"/>
        </w:rPr>
        <w:t xml:space="preserve">Centralized backend serving connected client applications. Under hundreds of thousands of client SDK requests, the centralized server suffers severe connection exhaustion and cannot meet the sub-1ms local cached evaluation requirement.</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3. Event-Driven Microservices Architecture (Selected): </w:t>
      </w:r>
      <w:r>
        <w:rPr>
          <w:sz w:val="22"/>
          <w:color w:val="222222"/>
        </w:rPr>
        <w:t xml:space="preserve">Decomposed into specialized, independently deployable services (API Gateway, Flag Manager, Rule Engine, Streaming Distribution, Audit Dispatcher). Allows high-throughput SSE distribution nodes to scale independently from CRUD storage while enabling in-memory edge evaluation.</w:t>
      </w:r>
    </w:p>
    <w:p>
      <w:pPr>
        <w:spacing w:before="240" w:after="120" w:line="276" w:lineRule="auto"/>
      </w:pPr>
      <w:r>
        <w:rPr>
          <w:b/>
          <w:sz w:val="32"/>
          <w:color w:val="003366"/>
        </w:rPr>
        <w:t xml:space="preserve">3. Architecture Selection &amp; Component Identification</w:t>
      </w:r>
    </w:p>
    <w:p>
      <w:pPr>
        <w:pBdr>
          <w:left w:val="single" w:sz="24" w:space="15" w:color="005599"/>
        </w:pBdr>
        <w:shd w:val="clear" w:color="auto" w:fill="F0F4F8"/>
        <w:spacing w:before="140" w:after="140"/>
        <w:ind w:left="240" w:right="240"/>
      </w:pPr>
      <w:r>
        <w:rPr>
          <w:b/>
          <w:sz w:val="22"/>
          <w:color w:val="003366"/>
        </w:rPr>
        <w:t xml:space="preserve">Architecture Selection Statement: </w:t>
      </w:r>
      <w:r>
        <w:rPr>
          <w:i/>
          <w:sz w:val="22"/>
          <w:color w:val="111111"/>
        </w:rPr>
        <w:t xml:space="preserve">We chose Event-Driven Microservices Architecture with Edge-Cached SDK Evaluation for the Feature Flag &amp; Dynamic Config Manager System.</w:t>
      </w:r>
    </w:p>
    <w:p>
      <w:pPr>
        <w:spacing w:before="180" w:after="80" w:line="276" w:lineRule="auto"/>
      </w:pPr>
      <w:r>
        <w:rPr>
          <w:b/>
          <w:sz w:val="26"/>
          <w:color w:val="005599"/>
        </w:rPr>
        <w:t xml:space="preserve">Identified Components: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1. Admin Dashboard (Presentation Component): </w:t>
      </w:r>
      <w:r>
        <w:rPr>
          <w:sz w:val="22"/>
          <w:color w:val="222222"/>
        </w:rPr>
        <w:t xml:space="preserve">Single Page React Application for Software Engineers and Release Managers to define toggle keys, targeting rules, and canary rollouts.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2. API Gateway &amp; Auth Guard Component: </w:t>
      </w:r>
      <w:r>
        <w:rPr>
          <w:sz w:val="22"/>
          <w:color w:val="222222"/>
        </w:rPr>
        <w:t xml:space="preserve">Reverse proxy providing authentication, rate limiting, and Role-Based Access Control (RBAC) token validation.</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3. Flag &amp; Rollout Manager Component: </w:t>
      </w:r>
      <w:r>
        <w:rPr>
          <w:sz w:val="22"/>
          <w:color w:val="222222"/>
        </w:rPr>
        <w:t xml:space="preserve">Handles toggle lifecycles, environment overrides (Dev/Staging/Prod), canary percentage calculations, and emergency instant kill-switch operations.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4. Rule Evaluation Engine Component: </w:t>
      </w:r>
      <w:r>
        <w:rPr>
          <w:sz w:val="22"/>
          <w:color w:val="222222"/>
        </w:rPr>
        <w:t xml:space="preserve">Executes deterministic MurmurHash3 consistent hashing across User IDs, matches user attribute rules, and validates JSON schemas.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5. Streaming Distribution Service Component: </w:t>
      </w:r>
      <w:r>
        <w:rPr>
          <w:sz w:val="22"/>
          <w:color w:val="222222"/>
        </w:rPr>
        <w:t xml:space="preserve">Maintains long-lived Server-Sent Events (SSE) and WebSocket streams to push config deltas to 100,000+ SDK nodes in under 2 seconds.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6. Audit &amp; Incident Dispatcher Component: </w:t>
      </w:r>
      <w:r>
        <w:rPr>
          <w:sz w:val="22"/>
          <w:color w:val="222222"/>
        </w:rPr>
        <w:t xml:space="preserve">Appends tamper-evident audit records and automatically triggers PagerDuty/Slack incident webhooks upon kill-switch invocation.</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7. Telemetry &amp; Metrics Aggregator Component: </w:t>
      </w:r>
      <w:r>
        <w:rPr>
          <w:sz w:val="22"/>
          <w:color w:val="222222"/>
        </w:rPr>
        <w:t xml:space="preserve">Aggregates P99 evaluation latencies, error rates, and canary health telemetry via OpenTelemetry/Prometheus.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8. Persistence &amp; Caching Tier Component: </w:t>
      </w:r>
      <w:r>
        <w:rPr>
          <w:sz w:val="22"/>
          <w:color w:val="222222"/>
        </w:rPr>
        <w:t xml:space="preserve">PostgreSQL ACID relational data store for persistent configurations and Redis Cluster for in-memory hot cache snapshots and pub/sub queues.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9. Client SDK &amp; In-Memory Evaluator Component: </w:t>
      </w:r>
      <w:r>
        <w:rPr>
          <w:sz w:val="22"/>
          <w:color w:val="222222"/>
        </w:rPr>
        <w:t xml:space="preserve">Client-side/server-side library executing sub-millisecond local in-memory evaluations with cached fallback.</w:t>
      </w:r>
    </w:p>
    <w:p>
      <w:pPr>
        <w:spacing w:before="180" w:after="80" w:line="276" w:lineRule="auto"/>
      </w:pPr>
      <w:r>
        <w:rPr>
          <w:b/>
          <w:sz w:val="26"/>
          <w:color w:val="005599"/>
        </w:rPr>
        <w:t xml:space="preserve">Key Interfaces &amp; Protocols: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IFlagAdminService: </w:t>
      </w:r>
      <w:r>
        <w:rPr>
          <w:sz w:val="22"/>
          <w:color w:val="222222"/>
        </w:rPr>
        <w:t xml:space="preserve">REST API over HTTPS for administrative flag mutations and dashboard interactions.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IRolloutConfigService / IRuleEvaluation: </w:t>
      </w:r>
      <w:r>
        <w:rPr>
          <w:sz w:val="22"/>
          <w:color w:val="222222"/>
        </w:rPr>
        <w:t xml:space="preserve">High-speed gRPC over mutual TLS (mTLS) for internal microservice communication.</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IConfigStream: </w:t>
      </w:r>
      <w:r>
        <w:rPr>
          <w:sz w:val="22"/>
          <w:color w:val="222222"/>
        </w:rPr>
        <w:t xml:space="preserve">Real-time Server-Sent Events (SSE) / WebSocket push channel for delta streaming to SDKs.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IAuditLogger: </w:t>
      </w:r>
      <w:r>
        <w:rPr>
          <w:sz w:val="22"/>
          <w:color w:val="222222"/>
        </w:rPr>
        <w:t xml:space="preserve">Asynchronous event queue for audit ledger insertion and SIEM synchronization.</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IDataPersistence: </w:t>
      </w:r>
      <w:r>
        <w:rPr>
          <w:sz w:val="22"/>
          <w:color w:val="222222"/>
        </w:rPr>
        <w:t xml:space="preserve">PostgreSQL connection pool driver for ACID transactional configuration persistence.</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ICacheStore: </w:t>
      </w:r>
      <w:r>
        <w:rPr>
          <w:sz w:val="22"/>
          <w:color w:val="222222"/>
        </w:rPr>
        <w:t xml:space="preserve">Redis RESP protocol for hot cache retrieval and pub/sub message broadcasting.</w:t>
      </w:r>
    </w:p>
    <w:p>
      <w:pPr>
        <w:spacing w:before="240" w:after="120" w:line="276" w:lineRule="auto"/>
      </w:pPr>
      <w:r>
        <w:rPr>
          <w:b/>
          <w:sz w:val="32"/>
          <w:color w:val="003366"/>
        </w:rPr>
        <w:t xml:space="preserve">4. Written Architectural Justification (1-Page Formal Submission)</w:t>
      </w:r>
    </w:p>
    <w:p>
      <w:pPr>
        <w:spacing w:before="120" w:after="60" w:line="276" w:lineRule="auto"/>
      </w:pPr>
      <w:r>
        <w:rPr>
          <w:b/>
          <w:sz w:val="24"/>
          <w:color w:val="333333"/>
        </w:rPr>
        <w:t xml:space="preserve">A. Architectural Choice</w:t>
      </w:r>
    </w:p>
    <w:p>
      <w:pPr>
        <w:spacing w:before="100" w:after="100" w:line="276" w:lineRule="auto"/>
      </w:pPr>
      <w:r>
        <w:rPr>
          <w:sz w:val="22"/>
          <w:color w:val="222222"/>
        </w:rPr>
        <w:t xml:space="preserve">We selected an Event-Driven Microservices Architecture with Edge-Cached SDK Evaluation for the Feature Flag &amp; Dynamic Config Manager System.</w:t>
      </w:r>
    </w:p>
    <w:p>
      <w:pPr>
        <w:spacing w:before="120" w:after="60" w:line="276" w:lineRule="auto"/>
      </w:pPr>
      <w:r>
        <w:rPr>
          <w:b/>
          <w:sz w:val="24"/>
          <w:color w:val="333333"/>
        </w:rPr>
        <w:t xml:space="preserve">B. Two Specific Scenario-Related Reasons</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1. Asymmetric Workload &amp; Independent Autoscaling: </w:t>
      </w:r>
      <w:r>
        <w:rPr>
          <w:sz w:val="22"/>
          <w:color w:val="222222"/>
        </w:rPr>
        <w:t xml:space="preserve">In a feature flag platform, administrative configuration mutations (by Release Managers) occur at low frequency (&lt;10 req/min), whereas client evaluation and sync queries occur at extreme scale (&gt;100,000 req/sec). Decomposing the system allows the Streaming Distribution Service and Rule Engine to autoscale independently across container clusters without over-provisioning the database-heavy admin CRUD service.</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2. Fault Isolation &amp; Blast Radius Containment: </w:t>
      </w:r>
      <w:r>
        <w:rPr>
          <w:sz w:val="22"/>
          <w:color w:val="222222"/>
        </w:rPr>
        <w:t xml:space="preserve">Under high load or transient outages in the Admin Dashboard, PostgreSQL database, or Audit logger, the critical flag evaluation pipeline remains completely unaffected. Because evaluations occur against in-memory SDK snapshots and Redis pub/sub caches, client applications experience zero downtime or cascading failures.</w:t>
      </w:r>
    </w:p>
    <w:p>
      <w:pPr>
        <w:spacing w:before="120" w:after="60" w:line="276" w:lineRule="auto"/>
      </w:pPr>
      <w:r>
        <w:rPr>
          <w:b/>
          <w:sz w:val="24"/>
          <w:color w:val="333333"/>
        </w:rPr>
        <w:t xml:space="preserve">C. Security Advantage</w:t>
      </w:r>
    </w:p>
    <w:p>
      <w:pPr>
        <w:spacing w:before="100" w:after="100" w:line="276" w:lineRule="auto"/>
      </w:pPr>
      <w:r>
        <w:rPr>
          <w:sz w:val="22"/>
          <w:color w:val="222222"/>
        </w:rPr>
        <w:t xml:space="preserve">The architecture implements Defense-in-Depth. The API Gateway strictly enforces Role-Based Access Control (RBAC) and Multi-Factor Authentication (MFA) on all production write endpoints. Inter-service communications between internal components (Flag Manager, Rule Engine, Audit Dispatcher) are authenticated and encrypted over mutual TLS (mTLS) with internal service mesh identity tokens, ensuring complete isolation of production overrides from public client SDK connections.</w:t>
      </w:r>
    </w:p>
    <w:p>
      <w:pPr>
        <w:spacing w:before="120" w:after="60" w:line="276" w:lineRule="auto"/>
      </w:pPr>
      <w:r>
        <w:rPr>
          <w:b/>
          <w:sz w:val="24"/>
          <w:color w:val="333333"/>
        </w:rPr>
        <w:t xml:space="preserve">D. Performance Benefit</w:t>
      </w:r>
    </w:p>
    <w:p>
      <w:pPr>
        <w:spacing w:before="100" w:after="100" w:line="276" w:lineRule="auto"/>
      </w:pPr>
      <w:r>
        <w:rPr>
          <w:sz w:val="22"/>
          <w:color w:val="222222"/>
        </w:rPr>
        <w:t xml:space="preserve">By utilizing local in-memory SDK evaluation updated via real-time push-based Server-Sent Events (SSE), runtime flag evaluations avoid all network round-trips, executing in under 1 millisecond (surpassing the &lt;15ms requirement). Global canary rollout updates propagate to distributed fleets in under 2 seconds without database query bottlenecks.</w:t>
      </w:r>
    </w:p>
    <w:p>
      <w:pPr>
        <w:spacing w:before="240" w:after="120" w:line="276" w:lineRule="auto"/>
      </w:pPr>
      <w:r>
        <w:rPr>
          <w:b/>
          <w:sz w:val="32"/>
          <w:color w:val="003366"/>
        </w:rPr>
        <w:t xml:space="preserve">5. UML 2.0 Component Diagram Reference</w:t>
      </w:r>
    </w:p>
    <w:p>
      <w:pPr>
        <w:spacing w:before="100" w:after="100" w:line="276" w:lineRule="auto"/>
      </w:pPr>
      <w:r>
        <w:rPr>
          <w:sz w:val="22"/>
          <w:color w:val="222222"/>
        </w:rPr>
        <w:t xml:space="preserve">The complete formal UML 2.0 Component Diagram showing all components, ball-and-socket assembly connectors, ports, and protocols has been generated as vector SVG and PlantUML models, accessible in the project repository:</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Vector SVG Diagram: </w:t>
      </w:r>
      <w:r>
        <w:rPr>
          <w:sz w:val="22"/>
          <w:color w:val="222222"/>
        </w:rPr>
        <w:t xml:space="preserve">assets/component_diagram.svg (High-resolution vector diagram)</w:t>
      </w:r>
    </w:p>
    <w:p>
      <w:pPr>
        <w:pStyle w:val="ListParagraph"/>
        <w:numPr>
          <w:ilvl w:val="0"/>
          <w:numId w:val="1"/>
        </w:numPr>
        <w:spacing w:before="60" w:after="60" w:line="260" w:lineRule="auto"/>
        <w:ind w:left="360"/>
      </w:pPr>
      <w:r>
        <w:rPr>
          <w:sz w:val="22"/>
          <w:color w:val="005599"/>
        </w:rPr>
        <w:t xml:space="preserve">●  </w:t>
      </w:r>
      <w:r>
        <w:rPr>
          <w:b/>
          <w:sz w:val="22"/>
          <w:color w:val="111111"/>
        </w:rPr>
        <w:t xml:space="preserve">PlantUML Model: </w:t>
      </w:r>
      <w:r>
        <w:rPr>
          <w:sz w:val="22"/>
          <w:color w:val="222222"/>
        </w:rPr>
        <w:t xml:space="preserve">component_diagram.puml (Complete PlantUML specification)</w:t>
      </w:r>
    </w:p>
    <w:p>
      <w:pPr>
        <w:spacing w:before="240" w:after="120" w:line="276" w:lineRule="auto"/>
      </w:pPr>
      <w:r>
        <w:rPr>
          <w:b/>
          <w:sz w:val="32"/>
          <w:color w:val="003366"/>
        </w:rPr>
        <w:t xml:space="preserve">6. Supplemental: Self-Service Coffee Kiosk System</w:t>
      </w:r>
    </w:p>
    <w:p>
      <w:pPr>
        <w:spacing w:before="100" w:after="100" w:line="276" w:lineRule="auto"/>
      </w:pPr>
      <w:r>
        <w:rPr>
          <w:sz w:val="22"/>
          <w:color w:val="222222"/>
        </w:rPr>
        <w:t xml:space="preserve">For the tutorial example specified in the lab manual, a 3-Tier Layered Architecture was modeled comprising 5 components (User Interface, Order Manager, Payment Service, Receipt Printer, Database Component) with Order Interface, Payment Interface, Receipt Interface, and Database Interface. Full diagrams are included in the repository assets.</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30</TotalTime>
  <Pages>4</Pages>
  <Words>1450</Words>
  <Characters>8800</Characters>
  <Application>Microsoft Word</Application>
  <DocSecurity>0</DocSecurity>
  <Lines>75</Lines>
  <Paragraphs>30</Paragraphs>
  <ScaleCrop>false</ScaleCrop>
  <Company>PES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Component Modelling &amp; Architectural Pattern Selection</dc:title>
  <dc:subject>Software Engineering Lab - Component Diagram and Architecture Selection</dc:subject>
  <dc:creator>Ganavi Gowda</dc:creator>
  <cp:lastModifiedBy>Ganavi Gowda</cp:lastModifiedBy>
  <dcterms:created xsi:type="dcterms:W3CDTF">2026-09-10T14:00:00Z</dcterms:created>
  <dcterms:modified xsi:type="dcterms:W3CDTF">2026-09-10T14:00:00Z</dcterms:modified>
</cp:coreProperties>
</file>