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OR51E1-&gt; Nonanoic acid (prostate cancer) - ​Nonanoic acid activates the human olfactory receptor OR51E1 by binding within its orthosteric cavity, interacting specifically with residues H108, I206, S111, and Y254, which collectively modulate ligand access, recognition, and receptor activation.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highlight w:val="yellow"/>
        </w:rPr>
      </w:pPr>
      <w:r w:rsidDel="00000000" w:rsidR="00000000" w:rsidRPr="00000000">
        <w:rPr>
          <w:b w:val="1"/>
          <w:bCs w:val="1"/>
          <w:highlight w:val="yellow"/>
          <w:rtl w:val="0"/>
        </w:rPr>
        <w:t xml:space="preserve">OR51B4 -&gt; Troenan (Colon cancer) - NOT FOUND</w:t>
      </w:r>
    </w:p>
    <w:p w:rsidR="00000000" w:rsidDel="00000000" w:rsidP="00000000" w:rsidRDefault="00000000" w:rsidRPr="00000000" w14:paraId="00000004">
      <w:pPr>
        <w:rPr>
          <w:b w:val="1"/>
          <w:bCs w:val="1"/>
          <w:highlight w:val="yellow"/>
        </w:rPr>
      </w:pPr>
      <w:r w:rsidDel="00000000" w:rsidR="00000000" w:rsidRPr="00000000">
        <w:rPr>
          <w:rtl w:val="0"/>
        </w:rPr>
      </w:r>
    </w:p>
    <w:p w:rsidR="00000000" w:rsidDel="00000000" w:rsidP="00000000" w:rsidRDefault="00000000" w:rsidRPr="00000000" w14:paraId="00000005">
      <w:pPr>
        <w:rPr>
          <w:b w:val="1"/>
          <w:bCs w:val="1"/>
          <w:highlight w:val="yellow"/>
        </w:rPr>
      </w:pPr>
      <w:r w:rsidDel="00000000" w:rsidR="00000000" w:rsidRPr="00000000">
        <w:rPr>
          <w:b w:val="1"/>
          <w:bCs w:val="1"/>
          <w:highlight w:val="yellow"/>
          <w:rtl w:val="0"/>
        </w:rPr>
        <w:t xml:space="preserve">OR10H1 -&gt;sandranol (bladder cancer) - NOT FOUND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OR1A1 -&gt; (−)-carvone (liver cancer) - (−)-Carvone activates OR1A1 by binding within its pocket and interacting with key residues Asn109, Gly108, Ile205, Tyr251, and Tyr276, which are essential for ligand recognition and receptor activation.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OR1A2 -&gt;Monoterpene (−)-citronellal (liver cancer)</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(−)-Citronellal activates the human olfactory receptor OR1A2 by binding within its pocket and interacting primarily with Ser112 and Arg109, which are essential for ligand recognition and receptor activation.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OR2J3 -&gt; helional (lung cancer) - Helional activates OR2J3 by binding within its pocket and interacting with key residues F113 and Y252, which are essential for ligand stabilization and receptor activation.</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