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Standard Deviation Analysis — LingoCGM CGM Report</w:t>
      </w:r>
    </w:p>
    <w:p>
      <w:r>
        <w:rPr>
          <w:i/>
        </w:rPr>
        <w:t>Workbook: LingoCGM_CGM_Report_codex.xlsx  ·  Sheet: Comparative  ·  Date: 2026-05-31</w:t>
      </w:r>
    </w:p>
    <w:p>
      <w:pPr>
        <w:pStyle w:val="Heading1"/>
      </w:pPr>
      <w:r>
        <w:t>Summary</w:t>
      </w:r>
    </w:p>
    <w:p>
      <w:r>
        <w:t>The standard-deviation (SD) and coefficient-of-variation (CV) figures that the workbook uses to show whether metformin reduces glucose variability are on the Comparative sheet, in the Off Meds vs On Meds table. As delivered, those cells (SD, CV, and the On-Meds minimum/maximum) all displayed an em-dash ("—") instead of numbers, so the headline variability comparison was unreadable. The whole-dataset SD on the Summary sheet (STDEVP = 17.47 mg/dL) was correct; the defect was isolated to the per-period Comparative calculations. All issues have been fixed.</w:t>
      </w:r>
    </w:p>
    <w:p>
      <w:pPr>
        <w:pStyle w:val="Heading1"/>
      </w:pPr>
      <w:r>
        <w:t>Root cause</w:t>
      </w:r>
    </w:p>
    <w:p>
      <w:pPr>
        <w:pStyle w:val="ListNumber"/>
      </w:pPr>
      <w:r>
        <w:rPr>
          <w:b/>
        </w:rPr>
        <w:t xml:space="preserve">Wrong function prefix (hard bug). </w:t>
      </w:r>
      <w:r>
        <w:t>The On-Meds minimum and maximum (cells C13 and C14) were written as _xludf.MINIFS and _xludf.MAXIFS. The _xludf. prefix tells Excel the function is an unknown user-defined function, so the cells return #NAME? and fall through IFERROR to "—". The Off-Meds equivalents (B13/B14) correctly use the _xlfn. prefix and worked.</w:t>
      </w:r>
    </w:p>
    <w:p>
      <w:pPr>
        <w:pStyle w:val="ListNumber"/>
      </w:pPr>
      <w:r>
        <w:rPr>
          <w:b/>
        </w:rPr>
        <w:t xml:space="preserve">Stale error cache on the conditional SD. </w:t>
      </w:r>
      <w:r>
        <w:t>The conditional population-SD workaround in B20/C20 — SQRT(SUMPRODUCT((phase)·ISNUMBER(g)·(g − phase_mean)²) ÷ count) — is valid in Excel, but the tool that last saved the file could not evaluate the array-IF inside SUMPRODUCT and stored "—" as the cached result. The CV cells (B21/C21) divide by SD, so they inherited the "—" as well.</w:t>
      </w:r>
    </w:p>
    <w:p>
      <w:pPr>
        <w:pStyle w:val="Heading1"/>
      </w:pPr>
      <w:r>
        <w:t>Verified values (recomputed from the _Calc raw data)</w:t>
      </w:r>
    </w:p>
    <w:p>
      <w:r>
        <w:t>Off Meds n = 765 readings; On Meds n = 2162 readings (Washout n = 2592, excluded).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Comparative metric (cell)</w:t>
            </w:r>
          </w:p>
        </w:tc>
        <w:tc>
          <w:tcPr>
            <w:tcW w:type="dxa" w:w="2160"/>
          </w:tcPr>
          <w:p>
            <w:r>
              <w:t>Off Meds: shown → correct</w:t>
            </w:r>
          </w:p>
        </w:tc>
        <w:tc>
          <w:tcPr>
            <w:tcW w:type="dxa" w:w="2160"/>
          </w:tcPr>
          <w:p>
            <w:r>
              <w:t>On Meds: shown → correct</w:t>
            </w:r>
          </w:p>
        </w:tc>
        <w:tc>
          <w:tcPr>
            <w:tcW w:type="dxa" w:w="2160"/>
          </w:tcPr>
          <w:p>
            <w:r/>
          </w:p>
        </w:tc>
      </w:tr>
      <w:tr>
        <w:tc>
          <w:tcPr>
            <w:tcW w:type="dxa" w:w="2160"/>
          </w:tcPr>
          <w:p>
            <w:r>
              <w:t>Standard Deviation (B20/C20)</w:t>
            </w:r>
          </w:p>
        </w:tc>
        <w:tc>
          <w:tcPr>
            <w:tcW w:type="dxa" w:w="2160"/>
          </w:tcPr>
          <w:p>
            <w:r>
              <w:t>— → 17.82 mg/dL</w:t>
            </w:r>
          </w:p>
        </w:tc>
        <w:tc>
          <w:tcPr>
            <w:tcW w:type="dxa" w:w="2160"/>
          </w:tcPr>
          <w:p>
            <w:r>
              <w:t>— → 20.96 mg/dL</w:t>
            </w:r>
          </w:p>
        </w:tc>
        <w:tc>
          <w:tcPr>
            <w:tcW w:type="dxa" w:w="2160"/>
          </w:tcPr>
          <w:p>
            <w:r/>
          </w:p>
        </w:tc>
      </w:tr>
      <w:tr>
        <w:tc>
          <w:tcPr>
            <w:tcW w:type="dxa" w:w="2160"/>
          </w:tcPr>
          <w:p>
            <w:r>
              <w:t>Coefficient of Variation (B21/C21)</w:t>
            </w:r>
          </w:p>
        </w:tc>
        <w:tc>
          <w:tcPr>
            <w:tcW w:type="dxa" w:w="2160"/>
          </w:tcPr>
          <w:p>
            <w:r>
              <w:t>— → 16.53%</w:t>
            </w:r>
          </w:p>
        </w:tc>
        <w:tc>
          <w:tcPr>
            <w:tcW w:type="dxa" w:w="2160"/>
          </w:tcPr>
          <w:p>
            <w:r>
              <w:t>— → 20.48%</w:t>
            </w:r>
          </w:p>
        </w:tc>
        <w:tc>
          <w:tcPr>
            <w:tcW w:type="dxa" w:w="2160"/>
          </w:tcPr>
          <w:p>
            <w:r/>
          </w:p>
        </w:tc>
      </w:tr>
      <w:tr>
        <w:tc>
          <w:tcPr>
            <w:tcW w:type="dxa" w:w="2160"/>
          </w:tcPr>
          <w:p>
            <w:r>
              <w:t>Minimum Glucose (B13/C13)</w:t>
            </w:r>
          </w:p>
        </w:tc>
        <w:tc>
          <w:tcPr>
            <w:tcW w:type="dxa" w:w="2160"/>
          </w:tcPr>
          <w:p>
            <w:r>
              <w:t>58 (already OK)</w:t>
            </w:r>
          </w:p>
        </w:tc>
        <w:tc>
          <w:tcPr>
            <w:tcW w:type="dxa" w:w="2160"/>
          </w:tcPr>
          <w:p>
            <w:r>
              <w:t>— → 55 mg/dL</w:t>
            </w:r>
          </w:p>
        </w:tc>
        <w:tc>
          <w:tcPr>
            <w:tcW w:type="dxa" w:w="2160"/>
          </w:tcPr>
          <w:p>
            <w:r/>
          </w:p>
        </w:tc>
      </w:tr>
      <w:tr>
        <w:tc>
          <w:tcPr>
            <w:tcW w:type="dxa" w:w="2160"/>
          </w:tcPr>
          <w:p>
            <w:r>
              <w:t>Maximum Glucose (B14/C14)</w:t>
            </w:r>
          </w:p>
        </w:tc>
        <w:tc>
          <w:tcPr>
            <w:tcW w:type="dxa" w:w="2160"/>
          </w:tcPr>
          <w:p>
            <w:r>
              <w:t>175 (already OK)</w:t>
            </w:r>
          </w:p>
        </w:tc>
        <w:tc>
          <w:tcPr>
            <w:tcW w:type="dxa" w:w="2160"/>
          </w:tcPr>
          <w:p>
            <w:r>
              <w:t>— → 182 mg/dL</w:t>
            </w:r>
          </w:p>
        </w:tc>
        <w:tc>
          <w:tcPr>
            <w:tcW w:type="dxa" w:w="2160"/>
          </w:tcPr>
          <w:p>
            <w:r/>
          </w:p>
        </w:tc>
      </w:tr>
    </w:tbl>
    <w:p>
      <w:pPr>
        <w:pStyle w:val="Heading1"/>
      </w:pPr>
      <w:r>
        <w:t>How it was fixed</w:t>
      </w:r>
    </w:p>
    <w:p>
      <w:pPr>
        <w:pStyle w:val="ListBullet"/>
      </w:pPr>
      <w:r>
        <w:t>C13/C14: replaced _xludf.MINIFS / _xludf.MAXIFS with the _xlfn. prefix → now 55 / 182.</w:t>
      </w:r>
    </w:p>
    <w:p>
      <w:pPr>
        <w:pStyle w:val="ListBullet"/>
      </w:pPr>
      <w:r>
        <w:t>B20/C20: kept the documented SQRT(SUMPRODUCT(...)/COUNTIF(...)) formula (valid in Excel) and refreshed the cached values to 17.82 / 20.96. The workbook already carries forceFullCalc="1", so Excel recomputes them on open.</w:t>
      </w:r>
    </w:p>
    <w:p>
      <w:pPr>
        <w:pStyle w:val="ListBullet"/>
      </w:pPr>
      <w:r>
        <w:t>B21/C21: no formula change needed — CV recomputes to 16.53% / 20.48% once SD is populated.</w:t>
      </w:r>
    </w:p>
    <w:p>
      <w:r>
        <w:t>The repair was made with surgical edits to xl/worksheets/sheet3.xml inside the xlsx package, so every chart, style, and other sheet is preserved byte-for-byte.</w:t>
      </w:r>
    </w:p>
    <w:p>
      <w:pPr>
        <w:pStyle w:val="Heading1"/>
      </w:pPr>
      <w:r>
        <w:t>Interpretation note</w:t>
      </w:r>
    </w:p>
    <w:p>
      <w:r>
        <w:t>In this simulated dataset the On-Meds period shows a lower mean glucose (102.3 vs 107.8 mg/dL) but a higher SD/CV (20.96 vs 17.82 mg/dL; 20.5% vs 16.5%). That is a property of the sample data, not a calculation error. Both periods remain below the ADA variability target of CV &lt; 36%.</w:t>
      </w:r>
    </w:p>
    <w:p/>
    <w:p>
      <w:r>
        <w:rPr>
          <w:i/>
          <w:sz w:val="18"/>
        </w:rPr>
        <w:t>Generated for the LingoCGM-Aspargo repository. Glucose data is simulated for demonstration.</w:t>
      </w:r>
    </w:p>
    <w:p>
      <w:r>
        <w:br w:type="page"/>
      </w:r>
    </w:p>
    <w:p>
      <w:pPr>
        <w:pStyle w:val="Heading1"/>
      </w:pPr>
      <w:r>
        <w:t>Follow-up Improvements (Robustness + Statistics)</w:t>
      </w:r>
    </w:p>
    <w:p>
      <w:r>
        <w:t>After the initial standard-deviation fix, a second round of surgical XML edits was applied to LingoCGM_CGM_Report_codex.xlsx (Summary and Comparative sheets), again preserving all charts and formatting.</w:t>
      </w:r>
    </w:p>
    <w:p>
      <w:pPr>
        <w:pStyle w:val="Heading2"/>
      </w:pPr>
      <w:r>
        <w:t>A. Refreshed stale "-" caches</w:t>
      </w:r>
    </w:p>
    <w:p>
      <w:r>
        <w:t>Several formula cells had been saved with a stale error value ("-") even though their formulas were valid; they only recovered when reopened in desktop Excel. The correct cached values were re-populated so the workbook reads correctly in any viewer: Summary!B16 (Hyperglycemia Burden Score), the Comparative HBS / SD / CV / min-max delta cells (B16, C16, D13, D14, D16, D20, D21), and the J-Index row (B69/C69/D69), which was blank only because it depends on the SD cells. A few per-day AUC cells (Summary!B49, Comparative!B42/B43) were left to Excel forceFullCalc recalculation on open.</w:t>
      </w:r>
    </w:p>
    <w:p>
      <w:pPr>
        <w:pStyle w:val="Heading2"/>
      </w:pPr>
      <w:r>
        <w:t>B. Hardened the formulas</w:t>
      </w:r>
    </w:p>
    <w:p>
      <w:pPr>
        <w:pStyle w:val="ListBullet"/>
      </w:pPr>
      <w:r>
        <w:t>Rewrote the conditional standard-deviation and HBS formulas (B16/C16, B20/C20) to an IF-free SUMPRODUCT form. The original SUMPRODUCT(...*IF(ISNUMBER(x),...)...) pattern is what the generating tool kept mis-evaluating into "-"; the IF-free form evaluates cleanly in Excel and in LibreOffice/openpyxl. Verified safe: column B of _Calc has zero text cells.</w:t>
      </w:r>
    </w:p>
    <w:p>
      <w:pPr>
        <w:pStyle w:val="ListBullet"/>
      </w:pPr>
      <w:r>
        <w:t>Confirmed no _xludf. function tokens remain anywhere in the workbook.</w:t>
      </w:r>
    </w:p>
    <w:p>
      <w:pPr>
        <w:pStyle w:val="Heading2"/>
      </w:pPr>
      <w:r>
        <w:t>C. Statistical significance of the treatment effect</w:t>
      </w:r>
    </w:p>
    <w:p>
      <w:r>
        <w:t>A new block (Comparative rows 78-90) tests the mean-glucose difference between the On Meds and Off Meds periods using a Welch two-sample comparison (normal approximation; Welch df is in the thousands, so t ~= z).</w:t>
      </w:r>
    </w:p>
    <w:tbl>
      <w:tblPr>
        <w:tblStyle w:val="LightGrid-Accent1"/>
        <w:tblW w:type="auto" w:w="0"/>
        <w:tblLook w:firstColumn="1" w:firstRow="1" w:lastColumn="0" w:lastRow="0" w:noHBand="0" w:noVBand="1" w:val="04A0"/>
      </w:tblPr>
      <w:tblGrid>
        <w:gridCol w:w="4320"/>
        <w:gridCol w:w="4320"/>
      </w:tblGrid>
      <w:tr>
        <w:tc>
          <w:tcPr>
            <w:tcW w:type="dxa" w:w="4320"/>
          </w:tcPr>
          <w:p>
            <w:r>
              <w:t>Quantity</w:t>
            </w:r>
          </w:p>
        </w:tc>
        <w:tc>
          <w:tcPr>
            <w:tcW w:type="dxa" w:w="4320"/>
          </w:tcPr>
          <w:p>
            <w:r>
              <w:t>Value</w:t>
            </w:r>
          </w:p>
        </w:tc>
      </w:tr>
      <w:tr>
        <w:tc>
          <w:tcPr>
            <w:tcW w:type="dxa" w:w="4320"/>
          </w:tcPr>
          <w:p>
            <w:r>
              <w:t>Off Meds n / On Meds n</w:t>
            </w:r>
          </w:p>
        </w:tc>
        <w:tc>
          <w:tcPr>
            <w:tcW w:type="dxa" w:w="4320"/>
          </w:tcPr>
          <w:p>
            <w:r>
              <w:t>765 / 2162 readings</w:t>
            </w:r>
          </w:p>
        </w:tc>
      </w:tr>
      <w:tr>
        <w:tc>
          <w:tcPr>
            <w:tcW w:type="dxa" w:w="4320"/>
          </w:tcPr>
          <w:p>
            <w:r>
              <w:t>Off / On sample SD (STDEV.S)</w:t>
            </w:r>
          </w:p>
        </w:tc>
        <w:tc>
          <w:tcPr>
            <w:tcW w:type="dxa" w:w="4320"/>
          </w:tcPr>
          <w:p>
            <w:r>
              <w:t>17.83 / 20.96 mg/dL</w:t>
            </w:r>
          </w:p>
        </w:tc>
      </w:tr>
      <w:tr>
        <w:tc>
          <w:tcPr>
            <w:tcW w:type="dxa" w:w="4320"/>
          </w:tcPr>
          <w:p>
            <w:r>
              <w:t>Mean difference (On - Off)</w:t>
            </w:r>
          </w:p>
        </w:tc>
        <w:tc>
          <w:tcPr>
            <w:tcW w:type="dxa" w:w="4320"/>
          </w:tcPr>
          <w:p>
            <w:r>
              <w:t>-5.45 mg/dL</w:t>
            </w:r>
          </w:p>
        </w:tc>
      </w:tr>
      <w:tr>
        <w:tc>
          <w:tcPr>
            <w:tcW w:type="dxa" w:w="4320"/>
          </w:tcPr>
          <w:p>
            <w:r>
              <w:t>Standard error of difference</w:t>
            </w:r>
          </w:p>
        </w:tc>
        <w:tc>
          <w:tcPr>
            <w:tcW w:type="dxa" w:w="4320"/>
          </w:tcPr>
          <w:p>
            <w:r>
              <w:t>0.79 mg/dL</w:t>
            </w:r>
          </w:p>
        </w:tc>
      </w:tr>
      <w:tr>
        <w:tc>
          <w:tcPr>
            <w:tcW w:type="dxa" w:w="4320"/>
          </w:tcPr>
          <w:p>
            <w:r>
              <w:t>z statistic</w:t>
            </w:r>
          </w:p>
        </w:tc>
        <w:tc>
          <w:tcPr>
            <w:tcW w:type="dxa" w:w="4320"/>
          </w:tcPr>
          <w:p>
            <w:r>
              <w:t>-6.93</w:t>
            </w:r>
          </w:p>
        </w:tc>
      </w:tr>
      <w:tr>
        <w:tc>
          <w:tcPr>
            <w:tcW w:type="dxa" w:w="4320"/>
          </w:tcPr>
          <w:p>
            <w:r>
              <w:t>p-value (two-sided, normal approx.)</w:t>
            </w:r>
          </w:p>
        </w:tc>
        <w:tc>
          <w:tcPr>
            <w:tcW w:type="dxa" w:w="4320"/>
          </w:tcPr>
          <w:p>
            <w:r>
              <w:t>~4e-12</w:t>
            </w:r>
          </w:p>
        </w:tc>
      </w:tr>
      <w:tr>
        <w:tc>
          <w:tcPr>
            <w:tcW w:type="dxa" w:w="4320"/>
          </w:tcPr>
          <w:p>
            <w:r>
              <w:t>95% confidence interval</w:t>
            </w:r>
          </w:p>
        </w:tc>
        <w:tc>
          <w:tcPr>
            <w:tcW w:type="dxa" w:w="4320"/>
          </w:tcPr>
          <w:p>
            <w:r>
              <w:t>[-6.99, -3.91] mg/dL</w:t>
            </w:r>
          </w:p>
        </w:tc>
      </w:tr>
    </w:tbl>
    <w:p>
      <w:r>
        <w:rPr>
          <w:b/>
        </w:rPr>
        <w:t xml:space="preserve">Caveat (also embedded in the workbook): </w:t>
      </w:r>
      <w:r>
        <w:t>CGM readings taken minutes apart are autocorrelated, so the effective sample size is far smaller than n and this p-value OVERSTATES significance. Treat the result as exploratory; for formal inference, aggregate to daily means first. The comparison uses sample SD (STDEV.S) rather than population SD, the more defensible choice for a two-group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