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56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203B6D"/>
        </w:rPr>
        <w:t xml:space="preserve">办公设备升级采购需求说明书</w:t>
      </w:r>
    </w:p>
    <w:p>
      <w:pPr>
        <w:spacing w:after="32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203B6D"/>
        </w:rPr>
        <w:t xml:space="preserve">一、项目背景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随着公司业务规模扩大和远程协作常态化，现有部分办公设备已连续使用超过 4 年，出现性能下降、电池续航缩短和硬件故障率升高等问题。</w:t>
      </w:r>
    </w:p>
    <w:p>
      <w:pPr>
        <w:spacing w:after="32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203B6D"/>
        </w:rPr>
        <w:t xml:space="preserve">二、采购目标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提升员工日常办公效率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降低设备故障造成的业务中断风险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统一 IT 资产管理口径</w:t>
      </w:r>
    </w:p>
    <w:p>
      <w:pPr>
        <w:spacing w:after="32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203B6D"/>
        </w:rPr>
        <w:t xml:space="preserve">三、预算与付款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预算上限为人民币 225,000 元。建议在验收通过且发票齐备后，按约定节点分阶段支付。</w:t>
      </w:r>
    </w:p>
    <w:p>
      <w:pPr>
        <w:spacing w:after="32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203B6D"/>
        </w:rPr>
        <w:t xml:space="preserve">四、交付要求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内容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交付时间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合同签订后 7 个工作日内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交付地点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苏州工业园区示例地址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保修要求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3 年原厂上门保修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