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Apprendimento basato sulle istanze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L’apprendimento è la registrazione degli esempi di training nel database. Non costruisco un modello, </w:t>
      </w:r>
      <w:r w:rsidDel="00000000" w:rsidR="00000000" w:rsidRPr="00000000">
        <w:rPr>
          <w:rtl w:val="0"/>
        </w:rPr>
        <w:t xml:space="preserve">memorizzo</w:t>
      </w:r>
      <w:r w:rsidDel="00000000" w:rsidR="00000000" w:rsidRPr="00000000">
        <w:rPr>
          <w:rtl w:val="0"/>
        </w:rPr>
        <w:t xml:space="preserve"> i dati. La classificazione di una nuova istanza, è il reperimento degli esempi simili e classificazione di quella sulla base di questi esempi. Assegno alla nuova istanza, la classe di maggioranza degli esempi più vicini.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rtl w:val="0"/>
        </w:rPr>
        <w:t xml:space="preserve">lazy:</w:t>
      </w:r>
      <w:r w:rsidDel="00000000" w:rsidR="00000000" w:rsidRPr="00000000">
        <w:rPr>
          <w:rtl w:val="0"/>
        </w:rPr>
        <w:t xml:space="preserve"> Ritarda l’elaborazione finchè non è necessario classificare una nuova istanza.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Costo</w:t>
      </w:r>
      <w:r w:rsidDel="00000000" w:rsidR="00000000" w:rsidRPr="00000000">
        <w:rPr>
          <w:rtl w:val="0"/>
        </w:rPr>
        <w:t xml:space="preserve"> di classificazione può essere elevato, devono essere considerati tutti gli esempi.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KNN - K Nearest Neighbour</w:t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lassificatore di apprendimento supervisionato non parametrico, che utilizza la prossimità per effettuare classificazioni o previsioni sul raggruppamento di un singolo punto dati.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Usa la distanza euclidea.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Trova i #</w:t>
      </w:r>
      <w:r w:rsidDel="00000000" w:rsidR="00000000" w:rsidRPr="00000000">
        <w:rPr>
          <w:rtl w:val="0"/>
        </w:rPr>
        <w:t xml:space="preserve">k elementi</w:t>
      </w:r>
      <w:r w:rsidDel="00000000" w:rsidR="00000000" w:rsidRPr="00000000">
        <w:rPr>
          <w:rtl w:val="0"/>
        </w:rPr>
        <w:t xml:space="preserve"> più vicini secondo la distanza euclidea e restituisce il valore di classe più frequente.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Tutti gli attributi delle istanze sono considerati per </w:t>
      </w:r>
      <w:r w:rsidDel="00000000" w:rsidR="00000000" w:rsidRPr="00000000">
        <w:rPr>
          <w:rtl w:val="0"/>
        </w:rPr>
        <w:t xml:space="preserve">reperire gli esempi</w:t>
      </w:r>
      <w:r w:rsidDel="00000000" w:rsidR="00000000" w:rsidRPr="00000000">
        <w:rPr>
          <w:rtl w:val="0"/>
        </w:rPr>
        <w:t xml:space="preserve"> simili. Se il concetto dipende da pochi attributi, gli esempi possono essere a grande distanza. 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Altre tipologie di distanze: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Minkowski, con ordine p&gt;0: distanza = ||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-x</w:t>
      </w:r>
      <w:r w:rsidDel="00000000" w:rsidR="00000000" w:rsidRPr="00000000">
        <w:rPr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||, (norma)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Distanza euclidea, con p = 2,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Distanza di Manhattan, con p = 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Distanza di Chebyshev, con p = ∞.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Gli attributi possono avere scale diverse, la distanza può essere diversa. Prima della distanza si cambia la scala, in modo che ognuno varii tra [0,1]. </w:t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gli attributi sono nominali: Si possono usare distanze definite ad hoc. 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KNN pesato sulla distanza</w:t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Il contributo di ciascun k esempio vicino è pesato sulla distanza tra lui e l’istanza da classificare. Gli esempi più vicini sono pesati di più rispetto quelli lontani. Peso w = 1/d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 si considerano tutti gli esempi invece dei k più vicini. Lo svantaggio è computazionale. Si parlerebbe di metodo globale invece che locale. 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Curse of dimensionality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k-NN considera tutti gli attributi degli esempi, in contrasto con gli algoritmi per l’apprendimento di alberi di decisione che selezionano solo gli attributi più rilevanti. Esempio: 20 attributi di cui solo 2 rilevanti per la classificazione delle istanze. Istanze che hanno valori identici per questi 2 attributi potrebbero essere distanti nello spazio delle istanze: 20-NN.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Pesare ogni attributo diversamente</w:t>
      </w:r>
      <w:r w:rsidDel="00000000" w:rsidR="00000000" w:rsidRPr="00000000">
        <w:rPr>
          <w:rtl w:val="0"/>
        </w:rPr>
        <w:t xml:space="preserve"> quando si calcola la distanza tra 2 istanze corrisponde al variare la lunghezza degli assi nello spazio euclideo di un valore costante pari a w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: accorciando gli assi che corrispondono ad attributi meno rilevanti e allungando gli assi che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corrispondono ad attributi più rilevanti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Definizione di 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Valori bassi di k: overfitting (controllo pochi esempi)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Valori alti di k: underfitting (mi allargo e sono più generico)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 consiglia sempre un valore dispari (3-NN, 5-NN) per non avere lo stesso #esempi positivi e negativi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