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5FCB8">
      <w:pPr>
        <w:rPr>
          <w:sz w:val="52"/>
          <w:szCs w:val="52"/>
        </w:rPr>
      </w:pPr>
    </w:p>
    <w:p w14:paraId="3F0DE623">
      <w:pPr>
        <w:spacing w:after="200"/>
        <w:jc w:val="center"/>
        <w:rPr>
          <w:sz w:val="52"/>
          <w:szCs w:val="52"/>
        </w:rPr>
      </w:pPr>
      <w:r>
        <w:rPr>
          <w:rFonts w:ascii="Arial" w:eastAsia="黑体"/>
          <w:b/>
          <w:bCs/>
          <w:sz w:val="52"/>
          <w:szCs w:val="52"/>
        </w:rPr>
        <w:t>贵州交通职业大学</w:t>
      </w:r>
    </w:p>
    <w:p w14:paraId="1BBD28B4">
      <w:pPr>
        <w:spacing w:after="200"/>
        <w:jc w:val="center"/>
        <w:rPr>
          <w:sz w:val="52"/>
          <w:szCs w:val="52"/>
        </w:rPr>
      </w:pPr>
      <w:r>
        <w:rPr>
          <w:rFonts w:hint="eastAsia" w:ascii="Arial" w:eastAsia="黑体"/>
          <w:b/>
          <w:bCs/>
          <w:sz w:val="52"/>
          <w:szCs w:val="52"/>
          <w:lang w:eastAsia="zh-CN"/>
        </w:rPr>
        <w:t>“</w:t>
      </w:r>
      <w:r>
        <w:rPr>
          <w:rFonts w:ascii="Arial" w:eastAsia="黑体"/>
          <w:b/>
          <w:bCs/>
          <w:sz w:val="52"/>
          <w:szCs w:val="52"/>
        </w:rPr>
        <w:t>马院+书院</w:t>
      </w:r>
      <w:r>
        <w:rPr>
          <w:rFonts w:hint="eastAsia" w:ascii="Arial" w:eastAsia="黑体"/>
          <w:b/>
          <w:bCs/>
          <w:sz w:val="52"/>
          <w:szCs w:val="52"/>
          <w:lang w:eastAsia="zh-CN"/>
        </w:rPr>
        <w:t>”</w:t>
      </w:r>
      <w:r>
        <w:rPr>
          <w:rFonts w:ascii="Arial" w:eastAsia="黑体"/>
          <w:b/>
          <w:bCs/>
          <w:sz w:val="52"/>
          <w:szCs w:val="52"/>
        </w:rPr>
        <w:t>协同育人项目</w:t>
      </w:r>
    </w:p>
    <w:p w14:paraId="1F6F319D">
      <w:pPr>
        <w:rPr>
          <w:sz w:val="52"/>
          <w:szCs w:val="52"/>
        </w:rPr>
      </w:pPr>
    </w:p>
    <w:p w14:paraId="211C9DE1">
      <w:pPr>
        <w:spacing w:after="160"/>
        <w:jc w:val="center"/>
        <w:rPr>
          <w:sz w:val="52"/>
          <w:szCs w:val="52"/>
        </w:rPr>
      </w:pPr>
      <w:r>
        <w:rPr>
          <w:rFonts w:ascii="Arial" w:eastAsia="黑体"/>
          <w:b/>
          <w:bCs/>
          <w:sz w:val="52"/>
          <w:szCs w:val="52"/>
        </w:rPr>
        <w:t>云端书院小程序</w:t>
      </w:r>
    </w:p>
    <w:p w14:paraId="43AE6D1C">
      <w:pPr>
        <w:spacing w:after="200"/>
        <w:jc w:val="center"/>
        <w:rPr>
          <w:rFonts w:ascii="Arial" w:eastAsia="黑体"/>
          <w:b/>
          <w:bCs/>
          <w:sz w:val="72"/>
          <w:szCs w:val="72"/>
        </w:rPr>
      </w:pPr>
    </w:p>
    <w:p w14:paraId="082298C5">
      <w:pPr>
        <w:spacing w:after="200"/>
        <w:jc w:val="center"/>
        <w:rPr>
          <w:rFonts w:ascii="Arial" w:eastAsia="黑体"/>
          <w:b/>
          <w:bCs/>
          <w:sz w:val="84"/>
          <w:szCs w:val="84"/>
        </w:rPr>
      </w:pPr>
      <w:r>
        <w:rPr>
          <w:rFonts w:ascii="Arial" w:eastAsia="黑体"/>
          <w:b/>
          <w:bCs/>
          <w:sz w:val="84"/>
          <w:szCs w:val="84"/>
        </w:rPr>
        <w:t xml:space="preserve">建 </w:t>
      </w:r>
    </w:p>
    <w:p w14:paraId="027700DD">
      <w:pPr>
        <w:spacing w:after="200"/>
        <w:jc w:val="center"/>
        <w:rPr>
          <w:rFonts w:ascii="Arial" w:eastAsia="黑体"/>
          <w:b/>
          <w:bCs/>
          <w:sz w:val="84"/>
          <w:szCs w:val="84"/>
        </w:rPr>
      </w:pPr>
      <w:r>
        <w:rPr>
          <w:rFonts w:ascii="Arial" w:eastAsia="黑体"/>
          <w:b/>
          <w:bCs/>
          <w:sz w:val="84"/>
          <w:szCs w:val="84"/>
        </w:rPr>
        <w:t xml:space="preserve">设 </w:t>
      </w:r>
    </w:p>
    <w:p w14:paraId="4A15740B">
      <w:pPr>
        <w:spacing w:after="200"/>
        <w:jc w:val="center"/>
        <w:rPr>
          <w:rFonts w:ascii="Arial" w:eastAsia="黑体"/>
          <w:b/>
          <w:bCs/>
          <w:sz w:val="84"/>
          <w:szCs w:val="84"/>
        </w:rPr>
      </w:pPr>
      <w:r>
        <w:rPr>
          <w:rFonts w:ascii="Arial" w:eastAsia="黑体"/>
          <w:b/>
          <w:bCs/>
          <w:sz w:val="84"/>
          <w:szCs w:val="84"/>
        </w:rPr>
        <w:t xml:space="preserve">方 </w:t>
      </w:r>
    </w:p>
    <w:p w14:paraId="048FF490">
      <w:pPr>
        <w:spacing w:after="200"/>
        <w:jc w:val="center"/>
        <w:rPr>
          <w:sz w:val="84"/>
          <w:szCs w:val="84"/>
        </w:rPr>
      </w:pPr>
      <w:r>
        <w:rPr>
          <w:rFonts w:ascii="Arial" w:eastAsia="黑体"/>
          <w:b/>
          <w:bCs/>
          <w:sz w:val="84"/>
          <w:szCs w:val="84"/>
        </w:rPr>
        <w:t>案</w:t>
      </w:r>
    </w:p>
    <w:p w14:paraId="35C1F0DB">
      <w:pPr>
        <w:rPr>
          <w:sz w:val="84"/>
          <w:szCs w:val="84"/>
        </w:rPr>
      </w:pPr>
    </w:p>
    <w:p w14:paraId="5641D9B1"/>
    <w:p w14:paraId="542745FE"/>
    <w:p w14:paraId="2959184E">
      <w:pPr>
        <w:spacing w:after="120"/>
        <w:jc w:val="both"/>
        <w:rPr>
          <w:rFonts w:ascii="Arial" w:eastAsia="黑体"/>
          <w:b/>
          <w:bCs/>
          <w:sz w:val="28"/>
          <w:szCs w:val="28"/>
        </w:rPr>
      </w:pPr>
    </w:p>
    <w:p w14:paraId="1C37589A">
      <w:pPr>
        <w:spacing w:after="120"/>
        <w:jc w:val="center"/>
        <w:rPr>
          <w:rFonts w:ascii="Arial" w:eastAsia="黑体"/>
          <w:b/>
          <w:bCs/>
          <w:sz w:val="28"/>
          <w:szCs w:val="28"/>
        </w:rPr>
      </w:pPr>
    </w:p>
    <w:p w14:paraId="5857166B">
      <w:pPr>
        <w:spacing w:after="120"/>
        <w:jc w:val="center"/>
        <w:rPr>
          <w:rFonts w:ascii="Arial" w:eastAsia="黑体"/>
          <w:b/>
          <w:bCs/>
          <w:sz w:val="28"/>
          <w:szCs w:val="28"/>
        </w:rPr>
      </w:pPr>
    </w:p>
    <w:p w14:paraId="5C9D1DAE">
      <w:pPr>
        <w:spacing w:after="120"/>
        <w:jc w:val="center"/>
        <w:rPr>
          <w:sz w:val="36"/>
          <w:szCs w:val="36"/>
        </w:rPr>
      </w:pPr>
      <w:r>
        <w:rPr>
          <w:rFonts w:ascii="Arial" w:eastAsia="黑体"/>
          <w:b/>
          <w:bCs/>
          <w:sz w:val="36"/>
          <w:szCs w:val="36"/>
        </w:rPr>
        <w:t>贵州交通职业大学中华文化书院</w:t>
      </w:r>
    </w:p>
    <w:p w14:paraId="72F8A445">
      <w:pPr>
        <w:jc w:val="center"/>
        <w:rPr>
          <w:sz w:val="36"/>
          <w:szCs w:val="36"/>
        </w:rPr>
      </w:pPr>
      <w:r>
        <w:rPr>
          <w:rFonts w:ascii="Arial" w:eastAsia="黑体"/>
          <w:b/>
          <w:bCs/>
          <w:sz w:val="36"/>
          <w:szCs w:val="36"/>
        </w:rPr>
        <w:t xml:space="preserve">2026 年 </w:t>
      </w:r>
      <w:r>
        <w:rPr>
          <w:rFonts w:hint="eastAsia" w:ascii="Arial" w:eastAsia="黑体"/>
          <w:b/>
          <w:bCs/>
          <w:sz w:val="36"/>
          <w:szCs w:val="36"/>
          <w:lang w:val="en-US" w:eastAsia="zh-CN"/>
        </w:rPr>
        <w:t>6</w:t>
      </w:r>
      <w:r>
        <w:rPr>
          <w:rFonts w:ascii="Arial" w:eastAsia="黑体"/>
          <w:b/>
          <w:bCs/>
          <w:sz w:val="36"/>
          <w:szCs w:val="36"/>
        </w:rPr>
        <w:t xml:space="preserve"> 月</w:t>
      </w:r>
    </w:p>
    <w:p w14:paraId="0E57D7FF">
      <w:r>
        <w:br w:type="page"/>
      </w:r>
    </w:p>
    <w:p w14:paraId="515762C2">
      <w:pPr>
        <w:spacing w:after="160"/>
        <w:jc w:val="center"/>
        <w:rPr>
          <w:rFonts w:ascii="Arial" w:eastAsia="黑体"/>
          <w:b/>
          <w:bCs/>
          <w:sz w:val="44"/>
          <w:szCs w:val="44"/>
        </w:rPr>
      </w:pPr>
      <w:r>
        <w:rPr>
          <w:rFonts w:ascii="Arial" w:eastAsia="黑体"/>
          <w:b/>
          <w:bCs/>
          <w:sz w:val="44"/>
          <w:szCs w:val="44"/>
        </w:rPr>
        <w:t>目  录</w:t>
      </w:r>
    </w:p>
    <w:sdt>
      <w:sdtPr>
        <w:rPr>
          <w:rFonts w:ascii="宋体" w:hAnsi="宋体" w:eastAsia="宋体"/>
          <w:sz w:val="36"/>
          <w:szCs w:val="36"/>
        </w:rPr>
        <w:id w:val="147474930"/>
        <w15:color w:val="DBDBDB"/>
        <w:docPartObj>
          <w:docPartGallery w:val="Table of Contents"/>
          <w:docPartUnique/>
        </w:docPartObj>
      </w:sdtPr>
      <w:sdtEndPr>
        <w:rPr>
          <w:rFonts w:ascii="Arial" w:eastAsia="黑体"/>
          <w:bCs/>
          <w:sz w:val="24"/>
          <w:szCs w:val="32"/>
        </w:rPr>
      </w:sdtEndPr>
      <w:sdtContent>
        <w:p w14:paraId="7F5368A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6"/>
              <w:szCs w:val="36"/>
            </w:rPr>
          </w:pPr>
        </w:p>
        <w:p w14:paraId="079130FE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/>
              <w:bCs/>
              <w:sz w:val="32"/>
              <w:szCs w:val="32"/>
            </w:rPr>
            <w:instrText xml:space="preserve">TOC \o "1-1" \h \u </w:instrText>
          </w:r>
          <w:r>
            <w:rPr>
              <w:rFonts w:ascii="Arial" w:eastAsia="黑体"/>
              <w:b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_Toc10037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一、建设背景与意义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_Toc10037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6FC853B9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_Toc16396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二、建设目标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_Toc16396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426F62F1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_Toc12614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三、建设原则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_Toc12614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20FD6231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_Toc18186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四、建设内容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_Toc18186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466CA9F8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_Toc13144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五、建设资源明细及开发要求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_Toc13144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0E1E3FC1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_Toc26573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六、资金预算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_Toc26573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11F43378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_Toc6079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七、实施步骤与进度安排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_Toc6079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7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40989A78">
          <w:pPr>
            <w:pStyle w:val="9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begin"/>
          </w:r>
          <w:r>
            <w:rPr>
              <w:rFonts w:ascii="Arial" w:eastAsia="黑体"/>
              <w:bCs/>
              <w:sz w:val="32"/>
              <w:szCs w:val="32"/>
            </w:rPr>
            <w:instrText xml:space="preserve"> HYPERLINK \l _Toc13221 </w:instrText>
          </w:r>
          <w:r>
            <w:rPr>
              <w:rFonts w:ascii="Arial" w:eastAsia="黑体"/>
              <w:bCs/>
              <w:sz w:val="32"/>
              <w:szCs w:val="32"/>
            </w:rPr>
            <w:fldChar w:fldCharType="separate"/>
          </w:r>
          <w:r>
            <w:rPr>
              <w:rFonts w:ascii="Arial" w:eastAsia="黑体"/>
              <w:bCs/>
              <w:sz w:val="32"/>
              <w:szCs w:val="32"/>
            </w:rPr>
            <w:t>八、预期成效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_Toc13221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7</w:t>
          </w:r>
          <w:r>
            <w:rPr>
              <w:sz w:val="32"/>
              <w:szCs w:val="32"/>
            </w:rPr>
            <w:fldChar w:fldCharType="end"/>
          </w: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  <w:p w14:paraId="0525A7CE">
          <w:pPr>
            <w:spacing w:after="160"/>
            <w:jc w:val="center"/>
            <w:rPr>
              <w:rFonts w:ascii="Arial" w:eastAsia="黑体"/>
              <w:bCs/>
              <w:sz w:val="24"/>
              <w:szCs w:val="32"/>
            </w:rPr>
          </w:pPr>
          <w:r>
            <w:rPr>
              <w:rFonts w:ascii="Arial" w:eastAsia="黑体"/>
              <w:bCs/>
              <w:sz w:val="32"/>
              <w:szCs w:val="32"/>
            </w:rPr>
            <w:fldChar w:fldCharType="end"/>
          </w:r>
        </w:p>
      </w:sdtContent>
    </w:sdt>
    <w:p w14:paraId="17185D71">
      <w:pPr>
        <w:spacing w:after="160"/>
        <w:jc w:val="center"/>
        <w:rPr>
          <w:rFonts w:ascii="Arial" w:eastAsia="黑体"/>
          <w:bCs/>
          <w:sz w:val="24"/>
          <w:szCs w:val="32"/>
        </w:rPr>
      </w:pPr>
    </w:p>
    <w:sdt>
      <w:sdtPr>
        <w:alias w:val="Table of Contents"/>
        <w:id w:val="147475427"/>
      </w:sdtPr>
      <w:sdtContent>
        <w:p w14:paraId="04A06406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E13DB7B">
          <w:r>
            <w:fldChar w:fldCharType="end"/>
          </w:r>
        </w:p>
      </w:sdtContent>
    </w:sdt>
    <w:p w14:paraId="5CB1FDB9">
      <w:r>
        <w:br w:type="page"/>
      </w:r>
    </w:p>
    <w:p w14:paraId="46E63112">
      <w:pPr>
        <w:pStyle w:val="2"/>
        <w:spacing w:before="240" w:after="160"/>
      </w:pPr>
      <w:bookmarkStart w:id="0" w:name="_Toc10037"/>
      <w:r>
        <w:rPr>
          <w:rFonts w:ascii="Arial" w:eastAsia="黑体"/>
          <w:b/>
          <w:bCs/>
          <w:sz w:val="32"/>
          <w:szCs w:val="32"/>
        </w:rPr>
        <w:t>一、建设背景与意义</w:t>
      </w:r>
      <w:bookmarkEnd w:id="0"/>
    </w:p>
    <w:p w14:paraId="1325480C">
      <w:pPr>
        <w:pStyle w:val="3"/>
        <w:spacing w:before="160" w:after="100"/>
      </w:pPr>
      <w:r>
        <w:rPr>
          <w:rFonts w:ascii="Arial" w:eastAsia="黑体"/>
          <w:b/>
          <w:bCs/>
          <w:sz w:val="28"/>
          <w:szCs w:val="28"/>
        </w:rPr>
        <w:t>（一）政策依据与目标对标</w:t>
      </w:r>
    </w:p>
    <w:p w14:paraId="5D71B20C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根据中共贵州省委教育工作委员会印发的《贵州省普通高等学校中华文化书院建设工作指引（2026年版）》（以下简称《指引》）精神，第10条明确要求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探索线上线下相结合的教学方式，打造中华优秀传统文化网上教育工作平台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。建设云端书院小程序，是落实《指引》关于数字化育人平台建设要求的具体举措。</w:t>
      </w:r>
    </w:p>
    <w:p w14:paraId="048D0E9A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同时，对标学校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中特高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验收标准关于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打造‘红桥e课’云端思政平台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的目标，云端书院小程序将作为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马院+书院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协同育人数字化基础设施，把红色文化、阳明文化、民族文化、屯堡文化等育人资源有机融合，为师生提供便捷高效的线上学习与文化传播服务，支撑思政教育与中华优秀传统文化教育的深度融合。</w:t>
      </w:r>
    </w:p>
    <w:p w14:paraId="1FBBFC48">
      <w:pPr>
        <w:pStyle w:val="3"/>
        <w:spacing w:before="160" w:after="100"/>
      </w:pPr>
      <w:r>
        <w:rPr>
          <w:rFonts w:ascii="Arial" w:eastAsia="黑体"/>
          <w:b/>
          <w:bCs/>
          <w:sz w:val="28"/>
          <w:szCs w:val="28"/>
        </w:rPr>
        <w:t>（二）建设必要性</w:t>
      </w:r>
    </w:p>
    <w:p w14:paraId="7A2654CF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一是数字化转型的现实需要。学校在思政教育与传统文化传承方面已具备一定工作基础，但线上教育平台尚属空白，亟需通过数字化平台整合优质育人资源，构建线上线下协同育人新格局。</w:t>
      </w:r>
    </w:p>
    <w:p w14:paraId="42D96E74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二是资源整合与长期保存的需要。书院在课程教学、文化展陈、活动组织中产生大量数字资源，需要统一的平台进行发布、管理与沉淀，实现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一次开发、长期使用、持续更新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。</w:t>
      </w:r>
    </w:p>
    <w:p w14:paraId="2BA4E468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三是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对外宣传与对内服务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双重需求的需要。小程序面向社会传播书院文化形象，面向师生提供课程学习、资源下载、活动报名等便捷服务，是书院文化育人成效的重要展示窗口。</w:t>
      </w:r>
    </w:p>
    <w:p w14:paraId="20BEDF8C">
      <w:pPr>
        <w:pStyle w:val="2"/>
        <w:spacing w:before="240" w:after="160"/>
      </w:pPr>
      <w:bookmarkStart w:id="1" w:name="_Toc16396"/>
      <w:r>
        <w:rPr>
          <w:rFonts w:ascii="Arial" w:eastAsia="黑体"/>
          <w:b/>
          <w:bCs/>
          <w:sz w:val="32"/>
          <w:szCs w:val="32"/>
        </w:rPr>
        <w:t>二、建设目标</w:t>
      </w:r>
      <w:bookmarkEnd w:id="1"/>
    </w:p>
    <w:p w14:paraId="46AB4158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建成云端书院小程序1套，完成微信小程序平台部署与运维，开发集新闻资讯、线上展馆、课程中心、资源下载、活动报名五大核心功能于一体的综合服务平台，搭建线上线下协同育人数字化平台，为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通途之路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课程矩阵与研学品牌提供线上承载与展示渠道。本部分建设总投入5.00万元。</w:t>
      </w:r>
    </w:p>
    <w:p w14:paraId="181A02E3">
      <w:pPr>
        <w:pStyle w:val="3"/>
        <w:spacing w:before="160" w:after="100"/>
      </w:pPr>
      <w:r>
        <w:rPr>
          <w:rFonts w:ascii="Arial" w:eastAsia="黑体"/>
          <w:b/>
          <w:bCs/>
          <w:sz w:val="28"/>
          <w:szCs w:val="28"/>
        </w:rPr>
        <w:t>（一）平台部署与运维目标</w:t>
      </w:r>
    </w:p>
    <w:p w14:paraId="64C5F2F1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完成微信小程序基础框架开发，实现 iOS/Android 双端适配，确保平台稳定运行；建立基础运维服务机制，包括 BUG 修复、安全更新、功能测试、兼容性测试等，保障系统长期安全稳定运行。本部分投入2.00万元。</w:t>
      </w:r>
    </w:p>
    <w:p w14:paraId="6AC0E1A7">
      <w:pPr>
        <w:pStyle w:val="3"/>
        <w:spacing w:before="160" w:after="100"/>
      </w:pPr>
      <w:r>
        <w:rPr>
          <w:rFonts w:ascii="Arial" w:eastAsia="黑体"/>
          <w:b/>
          <w:bCs/>
          <w:sz w:val="28"/>
          <w:szCs w:val="28"/>
        </w:rPr>
        <w:t>（二）功能模块开发目标</w:t>
      </w:r>
    </w:p>
    <w:p w14:paraId="5AE43A4C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开发首页与核心入口、新闻资讯、展馆展示、课程板块、资源下载、报名与后台管理等功能模块，实现在线选课、进度跟踪、资源下载、活动报名等功能，支撑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通途之路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课程矩阵的线上教学，并配备便捷高效的后台管理系统。本部分投入3.00万元。</w:t>
      </w:r>
    </w:p>
    <w:p w14:paraId="5F3C3FB7">
      <w:pPr>
        <w:pStyle w:val="2"/>
        <w:spacing w:before="240" w:after="160"/>
      </w:pPr>
      <w:bookmarkStart w:id="2" w:name="_Toc12614"/>
      <w:r>
        <w:rPr>
          <w:rFonts w:ascii="Arial" w:eastAsia="黑体"/>
          <w:b/>
          <w:bCs/>
          <w:sz w:val="32"/>
          <w:szCs w:val="32"/>
        </w:rPr>
        <w:t>三、建设原则</w:t>
      </w:r>
      <w:bookmarkEnd w:id="2"/>
    </w:p>
    <w:p w14:paraId="5D63499A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本小程序建设遵循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极简架构、操作简化、易搭建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的核心原则，采用成熟、简单的技术方案，确保技术落地简单、后期维护成本低。管理员可自主完成内容发布与管理，学生端操作流程直接便捷，无需专业技术背景即可使用，保障平台长期可持续运行。</w:t>
      </w:r>
    </w:p>
    <w:p w14:paraId="26118022">
      <w:pPr>
        <w:pStyle w:val="2"/>
        <w:spacing w:before="240" w:after="160"/>
      </w:pPr>
      <w:bookmarkStart w:id="3" w:name="_Toc18186"/>
      <w:r>
        <w:rPr>
          <w:rFonts w:ascii="Arial" w:eastAsia="黑体"/>
          <w:b/>
          <w:bCs/>
          <w:sz w:val="32"/>
          <w:szCs w:val="32"/>
        </w:rPr>
        <w:t>四、建设内容</w:t>
      </w:r>
      <w:bookmarkEnd w:id="3"/>
    </w:p>
    <w:p w14:paraId="5750F13B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本小程序致力于满足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对外宣传与对内服务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的双重需求，以实用为导向，集新闻资讯、线上展馆、课程中心、资源下载、活动报名五大核心功能于一体，并配备便捷高效的后台管理系统，全面支持书院文化传播与学生学习成长。</w:t>
      </w:r>
    </w:p>
    <w:p w14:paraId="76D10E15">
      <w:pPr>
        <w:pStyle w:val="3"/>
        <w:spacing w:before="160" w:after="100"/>
      </w:pPr>
      <w:r>
        <w:rPr>
          <w:rFonts w:ascii="Arial" w:eastAsia="黑体"/>
          <w:b/>
          <w:bCs/>
          <w:sz w:val="28"/>
          <w:szCs w:val="28"/>
        </w:rPr>
        <w:t>（一）平台部署与运维（2.00万元）</w:t>
      </w:r>
    </w:p>
    <w:p w14:paraId="496500FB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完成微信小程序基础框架开发，实现 iOS/Android 双端适配，确保平台稳定运行。采用成熟、简单的技术方案：前端开发覆盖所有用户界面及交互，后端开发包括服务器程序、数据库设计、API 接口，并部署至云服务器。采购基础运维服务，包括 BUG 修复、安全更新、功能测试、兼容性测试等，保障系统长期安全稳定运行。总投入2.00万元，其中框架开发1.20万元，运维服务0.80万元。</w:t>
      </w:r>
    </w:p>
    <w:p w14:paraId="310D8184">
      <w:pPr>
        <w:pStyle w:val="3"/>
        <w:spacing w:before="160" w:after="100"/>
      </w:pPr>
      <w:r>
        <w:rPr>
          <w:rFonts w:ascii="Arial" w:eastAsia="黑体"/>
          <w:b/>
          <w:bCs/>
          <w:sz w:val="28"/>
          <w:szCs w:val="28"/>
        </w:rPr>
        <w:t>（二）功能模块开发（3.00万元）</w:t>
      </w:r>
    </w:p>
    <w:p w14:paraId="2809E831">
      <w:pPr>
        <w:spacing w:before="100" w:after="60"/>
        <w:ind w:firstLine="480"/>
      </w:pPr>
      <w:r>
        <w:rPr>
          <w:rFonts w:ascii="Times New Roman" w:eastAsia="宋体"/>
          <w:b/>
          <w:bCs/>
          <w:sz w:val="24"/>
          <w:szCs w:val="24"/>
        </w:rPr>
        <w:t>1. 首页与核心入口设计</w:t>
      </w:r>
    </w:p>
    <w:p w14:paraId="73F389E6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首页顶部固定导航栏，居中显示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中华文化书院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名称。核心展示区包括 3—5 张轮播图，支持图片自动切换，点击跳转至关联页面。功能入口矩阵按使用频率排序为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新闻资讯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展馆展示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课程中心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资源下载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报名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。11 个展馆以图标或卡片形式展示名称、封面图及简介摘要。推荐内容区显示 3 条最新新闻和 2 个热门课程。底部导航栏保留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首页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新闻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展馆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课程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4 个 tab。</w:t>
      </w:r>
    </w:p>
    <w:p w14:paraId="465C7D1C">
      <w:pPr>
        <w:spacing w:before="100" w:after="60"/>
        <w:ind w:firstLine="480"/>
      </w:pPr>
      <w:r>
        <w:rPr>
          <w:rFonts w:ascii="Times New Roman" w:eastAsia="宋体"/>
          <w:b/>
          <w:bCs/>
          <w:sz w:val="24"/>
          <w:szCs w:val="24"/>
        </w:rPr>
        <w:t>2. 新闻资讯模块</w:t>
      </w:r>
    </w:p>
    <w:p w14:paraId="4FC05AAE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新闻列表页设置横向滑动分类标签栏，支持后台自定义分类（如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书院动态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活动通知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文化传承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）。每条新闻以卡片形式展示缩略图、标题、发布时间、分类标签。管理员可发布、编辑、删除新闻，支持图文视频混排。</w:t>
      </w:r>
    </w:p>
    <w:p w14:paraId="4CA0B81E">
      <w:pPr>
        <w:spacing w:before="100" w:after="60"/>
        <w:ind w:firstLine="480"/>
      </w:pPr>
      <w:r>
        <w:rPr>
          <w:rFonts w:ascii="Times New Roman" w:eastAsia="宋体"/>
          <w:b/>
          <w:bCs/>
          <w:sz w:val="24"/>
          <w:szCs w:val="24"/>
        </w:rPr>
        <w:t>3. 展馆展示模块</w:t>
      </w:r>
    </w:p>
    <w:p w14:paraId="0A0D55B8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展馆列表页设置横向滑动分类标签栏，11 个展馆按分类顺序展示。展馆详情页包括展馆简介和图文展示区（多图轮播+图片说明），图片可放大查看。管理后台支持展馆编辑、删除、上下架操作。</w:t>
      </w:r>
    </w:p>
    <w:p w14:paraId="33F24970">
      <w:pPr>
        <w:spacing w:before="100" w:after="60"/>
        <w:ind w:firstLine="480"/>
      </w:pPr>
      <w:r>
        <w:rPr>
          <w:rFonts w:ascii="Times New Roman" w:eastAsia="宋体"/>
          <w:b/>
          <w:bCs/>
          <w:sz w:val="24"/>
          <w:szCs w:val="24"/>
        </w:rPr>
        <w:t>4. 课程板块</w:t>
      </w:r>
    </w:p>
    <w:p w14:paraId="687D8F49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课程列表页设置横向滑动分类标签栏，每条课程卡片包含名称、封面图、分类标签、简介摘要。课程详情页展示分类、授课对象、课程时长、开课时间、课程介绍等基本信息。管理后台支持课程分类管理、课程编辑、资源上传（课件/视频/音频）、上下架操作。</w:t>
      </w:r>
    </w:p>
    <w:p w14:paraId="454C58BF">
      <w:pPr>
        <w:spacing w:before="100" w:after="60"/>
        <w:ind w:firstLine="480"/>
      </w:pPr>
      <w:r>
        <w:rPr>
          <w:rFonts w:ascii="Times New Roman" w:eastAsia="宋体"/>
          <w:b/>
          <w:bCs/>
          <w:sz w:val="24"/>
          <w:szCs w:val="24"/>
        </w:rPr>
        <w:t>5. 资源下载模块</w:t>
      </w:r>
    </w:p>
    <w:p w14:paraId="0AA492AE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资源按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课件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视频</w:t>
      </w:r>
      <w:r>
        <w:rPr>
          <w:rFonts w:hint="eastAsia"/>
          <w:sz w:val="24"/>
          <w:szCs w:val="24"/>
          <w:lang w:eastAsia="zh-CN"/>
        </w:rPr>
        <w:t>”“</w:t>
      </w:r>
      <w:r>
        <w:rPr>
          <w:rFonts w:ascii="Times New Roman" w:eastAsia="宋体"/>
          <w:sz w:val="24"/>
          <w:szCs w:val="24"/>
        </w:rPr>
        <w:t>音频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分类展示，支持 doc、pdf、ppt、mp4、mp3 等常见格式。每个资源显示文件名、文件大小，配备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下载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按钮。管理后台支持资源上传、顺序调整、上下架操作。</w:t>
      </w:r>
    </w:p>
    <w:p w14:paraId="40501164">
      <w:pPr>
        <w:spacing w:before="100" w:after="60"/>
        <w:ind w:firstLine="480"/>
      </w:pPr>
      <w:r>
        <w:rPr>
          <w:rFonts w:ascii="Times New Roman" w:eastAsia="宋体"/>
          <w:b/>
          <w:bCs/>
          <w:sz w:val="24"/>
          <w:szCs w:val="24"/>
        </w:rPr>
        <w:t>6. 报名与后台管理</w:t>
      </w:r>
    </w:p>
    <w:p w14:paraId="429233AE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学生可提交姓名、联系电话、学院、年级、报名课程等信息，实现活动报名功能。管理员登录后台展示数据概览（访问量、发布量、课程数等），支持新闻管理、展馆管理、课程管理、分类管理、系统设置、报名管理、资源上传等功能。</w:t>
      </w:r>
    </w:p>
    <w:p w14:paraId="5FF7578F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本模块开发投入3.00万元。整个小程序建设采用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极简架构、操作简化、易搭建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的核心原则，管理员可自主完成内容发布和管理，学生端操作流程直接便捷，技术落地简单，后期维护成本低。</w:t>
      </w:r>
    </w:p>
    <w:p w14:paraId="7B0CD369">
      <w:r>
        <w:br w:type="page"/>
      </w:r>
    </w:p>
    <w:p w14:paraId="2D018F1E">
      <w:pPr>
        <w:pStyle w:val="2"/>
        <w:spacing w:before="240" w:after="160"/>
      </w:pPr>
      <w:bookmarkStart w:id="4" w:name="_Toc13144"/>
      <w:r>
        <w:rPr>
          <w:rFonts w:ascii="Arial" w:eastAsia="黑体"/>
          <w:b/>
          <w:bCs/>
          <w:sz w:val="32"/>
          <w:szCs w:val="32"/>
        </w:rPr>
        <w:t>五、建设资源明细及开发要求</w:t>
      </w:r>
      <w:bookmarkEnd w:id="4"/>
    </w:p>
    <w:p w14:paraId="7CFB49FB">
      <w:pPr>
        <w:spacing w:before="80" w:after="120"/>
        <w:jc w:val="center"/>
      </w:pPr>
      <w:r>
        <w:rPr>
          <w:rFonts w:ascii="Arial" w:eastAsia="黑体"/>
          <w:b/>
          <w:bCs/>
          <w:sz w:val="22"/>
          <w:szCs w:val="22"/>
        </w:rPr>
        <w:t>表1  云端书院小程序建设资源明细及开发要求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2000"/>
        <w:gridCol w:w="880"/>
        <w:gridCol w:w="4660"/>
        <w:gridCol w:w="1200"/>
      </w:tblGrid>
      <w:tr w14:paraId="695F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874CD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F6008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建设项目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812F8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投入（万元）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DB008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开发要求与产出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C24F8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备注</w:t>
            </w:r>
          </w:p>
        </w:tc>
      </w:tr>
      <w:tr w14:paraId="6565B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B885A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一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1632A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平台部署与运维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6BB3D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F09B2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——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A5D89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小计</w:t>
            </w:r>
          </w:p>
        </w:tc>
      </w:tr>
      <w:tr w14:paraId="729B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C279A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1.1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D61CE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框架开发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55A21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1.20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83D7A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完成微信小程序基础框架开发，实现 iOS/Android 双端适配；前端界面及交互、后端服务器、数据库、API 接口开发；部署至云服务器。产出：小程序前端1套、后端系统1套、云服务器部署1套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3544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基础架构</w:t>
            </w:r>
          </w:p>
        </w:tc>
      </w:tr>
      <w:tr w14:paraId="5156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8DB4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1.2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D34B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运维服务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97E7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0.80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C043F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BUG 修复、安全更新、功能测试、兼容性测试；定期维护与监控服务。产出：运维服务1年、技术支持文档1套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63D6E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持续服务</w:t>
            </w:r>
          </w:p>
        </w:tc>
      </w:tr>
      <w:tr w14:paraId="408D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9B993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二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7C214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功能模块开发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67E1C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3.00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8815E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——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99393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小计</w:t>
            </w:r>
          </w:p>
        </w:tc>
      </w:tr>
      <w:tr w14:paraId="23613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2CD00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1AD6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首页与核心入口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0563C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0.30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74FC6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固定导航栏、轮播图、功能入口矩阵、11 个展馆入口、推荐内容区、底部 tab 导航。产出：首页界面1套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FD21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核心页面</w:t>
            </w:r>
          </w:p>
        </w:tc>
      </w:tr>
      <w:tr w14:paraId="2371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B9290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42CF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新闻资讯模块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F2C62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0.30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B434B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新闻列表页、编辑页、详情页，支持图文视频混排、后台管理。产出：新闻模块1套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05B9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内容发布</w:t>
            </w:r>
          </w:p>
        </w:tc>
      </w:tr>
      <w:tr w14:paraId="3549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4A8E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2.3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01D41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展馆展示模块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DDEB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0.40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959C5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11 个展馆分类展示，多图轮播、图片放大、后台编辑。产出：展馆模块1套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31D38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线上展馆</w:t>
            </w:r>
          </w:p>
        </w:tc>
      </w:tr>
      <w:tr w14:paraId="109C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464C8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2.4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7EB6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课程板块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12DB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0.80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FA5F3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课程列表与详情展示、分类管理、资源上传、上下架管理。产出：课程管理模块1套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8F37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核心模块</w:t>
            </w:r>
          </w:p>
        </w:tc>
      </w:tr>
      <w:tr w14:paraId="37A6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B61CC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2.5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B54BE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资源下载模块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0E72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0.50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27FAF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课件、视频、音频分类展示，支持常见格式下载。产出：资源下载模块1套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2471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资源库接口</w:t>
            </w:r>
          </w:p>
        </w:tc>
      </w:tr>
      <w:tr w14:paraId="4EF5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E7E40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2.6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A7FC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报名模块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B341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0.30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59CFB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学生报名表单、数据提交、报名数据管理。产出：报名模块1套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8D688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活动报名</w:t>
            </w:r>
          </w:p>
        </w:tc>
      </w:tr>
      <w:tr w14:paraId="508C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E104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2.7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3F066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系统管理后台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51833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0.40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0A4D3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管理员登录、数据概览、新闻/展馆/课程/分类管理、系统设置、报名管理、资源上传。产出：后台管理系统1套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F7C9E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8"/>
                <w:szCs w:val="18"/>
              </w:rPr>
              <w:t>统一管理</w:t>
            </w:r>
          </w:p>
        </w:tc>
      </w:tr>
      <w:tr w14:paraId="2E4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24749">
            <w:pPr>
              <w:spacing w:line="240" w:lineRule="auto"/>
              <w:jc w:val="center"/>
            </w:pP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6DBBC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合  计</w:t>
            </w:r>
          </w:p>
        </w:tc>
        <w:tc>
          <w:tcPr>
            <w:tcW w:w="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CA768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5.00</w:t>
            </w:r>
          </w:p>
        </w:tc>
        <w:tc>
          <w:tcPr>
            <w:tcW w:w="4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F374E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资产汇总：小程序前端1套、后端系统1套、云服务器部署1套、运维服务1年、首页界面1套、新闻模块1套、展馆模块1套、课程模块1套、资源下载模块1套、报名模块1套、后台管理系统1套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38E63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8"/>
                <w:szCs w:val="18"/>
              </w:rPr>
              <w:t>——</w:t>
            </w:r>
          </w:p>
        </w:tc>
      </w:tr>
    </w:tbl>
    <w:p w14:paraId="69FA1E4B">
      <w:pPr>
        <w:pStyle w:val="2"/>
        <w:spacing w:before="240" w:after="160"/>
      </w:pPr>
      <w:bookmarkStart w:id="5" w:name="_Toc26573"/>
      <w:r>
        <w:rPr>
          <w:rFonts w:ascii="Arial" w:eastAsia="黑体"/>
          <w:b/>
          <w:bCs/>
          <w:sz w:val="32"/>
          <w:szCs w:val="32"/>
        </w:rPr>
        <w:t>六、资金预算</w:t>
      </w:r>
      <w:bookmarkEnd w:id="5"/>
    </w:p>
    <w:p w14:paraId="20A1F7E3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本小程序建设总投入5.00万元（50000元，省级专项资金），分为平台部署与运维（20000元）、功能模块开发（30000元）两大板块，预算明细如下表所示。</w:t>
      </w:r>
    </w:p>
    <w:p w14:paraId="4F438A24">
      <w:pPr>
        <w:spacing w:before="80" w:after="120"/>
        <w:jc w:val="center"/>
      </w:pPr>
      <w:r>
        <w:rPr>
          <w:rFonts w:ascii="Arial" w:eastAsia="黑体"/>
          <w:b/>
          <w:bCs/>
          <w:sz w:val="22"/>
          <w:szCs w:val="22"/>
        </w:rPr>
        <w:t>表2  云端书院小程序建设经费预算（单位：元）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2580"/>
        <w:gridCol w:w="660"/>
        <w:gridCol w:w="640"/>
        <w:gridCol w:w="1060"/>
        <w:gridCol w:w="1060"/>
        <w:gridCol w:w="2800"/>
      </w:tblGrid>
      <w:tr w14:paraId="7B07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23F52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序号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EA041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建设内容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0D198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数量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EFD65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单位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D43D3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单价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E15E0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金额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2B76B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主要产出/备注</w:t>
            </w:r>
          </w:p>
        </w:tc>
      </w:tr>
      <w:tr w14:paraId="4C7F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13DD3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一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CE66B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平台部署与运维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A9CFE">
            <w:pPr>
              <w:spacing w:line="240" w:lineRule="auto"/>
              <w:jc w:val="center"/>
            </w:pP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E92D1">
            <w:pPr>
              <w:spacing w:line="240" w:lineRule="auto"/>
              <w:jc w:val="center"/>
            </w:pP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2AB30">
            <w:pPr>
              <w:spacing w:line="240" w:lineRule="auto"/>
              <w:jc w:val="center"/>
            </w:pP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34A17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20000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7A61D">
            <w:pPr>
              <w:spacing w:line="240" w:lineRule="auto"/>
              <w:jc w:val="left"/>
            </w:pPr>
          </w:p>
        </w:tc>
      </w:tr>
      <w:tr w14:paraId="0CD0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2514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6077E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前端界面开发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3F1B3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65DB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7F31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E561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67D41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小程序前端页面设计与开发</w:t>
            </w:r>
          </w:p>
        </w:tc>
      </w:tr>
      <w:tr w14:paraId="0A70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33A5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C0177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后端服务开发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738C0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A9A1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C06C2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7B72C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3EDBB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后端逻辑开发、API 接口设计</w:t>
            </w:r>
          </w:p>
        </w:tc>
      </w:tr>
      <w:tr w14:paraId="652C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DDFB0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90C93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数据库设计与部署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EAB43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581D3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F203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37AF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C4EE9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数据库结构设计、云服务器部署</w:t>
            </w:r>
          </w:p>
        </w:tc>
      </w:tr>
      <w:tr w14:paraId="596C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1C5D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D2BFF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系统测试与上线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08BA8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22AC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9092C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2000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CAE2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2000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3A8B2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功能测试、兼容性测试、上线部署</w:t>
            </w:r>
          </w:p>
        </w:tc>
      </w:tr>
      <w:tr w14:paraId="3E8A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B64D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104E6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基础运维服务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370C8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7BA27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年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AD15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8000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204F6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8000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A8D96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BUG 修复、安全更新、日常维护</w:t>
            </w:r>
          </w:p>
        </w:tc>
      </w:tr>
      <w:tr w14:paraId="23847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A3808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二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92B66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功能模块开发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51CF7">
            <w:pPr>
              <w:spacing w:line="240" w:lineRule="auto"/>
              <w:jc w:val="center"/>
            </w:pP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54BFF">
            <w:pPr>
              <w:spacing w:line="240" w:lineRule="auto"/>
              <w:jc w:val="center"/>
            </w:pP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38A56">
            <w:pPr>
              <w:spacing w:line="240" w:lineRule="auto"/>
              <w:jc w:val="center"/>
            </w:pP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B19C3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30000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D60E6">
            <w:pPr>
              <w:spacing w:line="240" w:lineRule="auto"/>
              <w:jc w:val="left"/>
            </w:pPr>
          </w:p>
        </w:tc>
      </w:tr>
      <w:tr w14:paraId="3A76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F9D5A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981D9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首页与核心入口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FCA9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4D15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198C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E381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2760D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导航栏、轮播图、功能入口矩阵、展馆入口</w:t>
            </w:r>
          </w:p>
        </w:tc>
      </w:tr>
      <w:tr w14:paraId="0115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8D2BF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800D7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新闻资讯模块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23E8A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CB96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69BE6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3B5E7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88159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新闻列表、编辑、详情页及后台管理</w:t>
            </w:r>
          </w:p>
        </w:tc>
      </w:tr>
      <w:tr w14:paraId="74D9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F1A5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50F80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展馆展示模块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5E3D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E7D6C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88ACE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85904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A72F2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11 个展馆分类展示，多图轮播、后台编辑</w:t>
            </w:r>
          </w:p>
        </w:tc>
      </w:tr>
      <w:tr w14:paraId="3D2C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10797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9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52FB6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课程板块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87E3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0CC62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D1B5C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8000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ED5D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8000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686E3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课程列表、详情、分类管理、资源上传</w:t>
            </w:r>
          </w:p>
        </w:tc>
      </w:tr>
      <w:tr w14:paraId="6CE1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3B963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67F4F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资源下载模块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DC3F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1A3D6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F212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5000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BC211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5000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E7D58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课件、视频、音频分类展示与下载</w:t>
            </w:r>
          </w:p>
        </w:tc>
      </w:tr>
      <w:tr w14:paraId="3984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8A7B5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DC096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报名模块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C78A7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CAD3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FDD42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CE512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3000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E9C86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活动报名表单、数据管理</w:t>
            </w:r>
          </w:p>
        </w:tc>
      </w:tr>
      <w:tr w14:paraId="430D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604F9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F5582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系统管理后台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0AB70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AADE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套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D927D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4000</w:t>
            </w: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253BB">
            <w:pPr>
              <w:spacing w:line="24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4000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E72E4">
            <w:pPr>
              <w:spacing w:line="24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sz w:val="17"/>
                <w:szCs w:val="17"/>
              </w:rPr>
              <w:t>数据概览、各模块管理、系统设置</w:t>
            </w:r>
          </w:p>
        </w:tc>
      </w:tr>
      <w:tr w14:paraId="3452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B2D6E">
            <w:pPr>
              <w:spacing w:line="240" w:lineRule="auto"/>
              <w:jc w:val="center"/>
            </w:pPr>
          </w:p>
        </w:tc>
        <w:tc>
          <w:tcPr>
            <w:tcW w:w="25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35EFA">
            <w:pPr>
              <w:spacing w:line="240" w:lineRule="auto"/>
              <w:jc w:val="left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合  计</w:t>
            </w:r>
          </w:p>
        </w:tc>
        <w:tc>
          <w:tcPr>
            <w:tcW w:w="6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368E6">
            <w:pPr>
              <w:spacing w:line="240" w:lineRule="auto"/>
              <w:jc w:val="center"/>
            </w:pPr>
          </w:p>
        </w:tc>
        <w:tc>
          <w:tcPr>
            <w:tcW w:w="6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5018C">
            <w:pPr>
              <w:spacing w:line="240" w:lineRule="auto"/>
              <w:jc w:val="center"/>
            </w:pP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F71DE">
            <w:pPr>
              <w:spacing w:line="240" w:lineRule="auto"/>
              <w:jc w:val="center"/>
            </w:pPr>
          </w:p>
        </w:tc>
        <w:tc>
          <w:tcPr>
            <w:tcW w:w="1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430A0">
            <w:pPr>
              <w:spacing w:line="240" w:lineRule="auto"/>
              <w:jc w:val="center"/>
            </w:pPr>
            <w:r>
              <w:rPr>
                <w:rFonts w:ascii="Times New Roman" w:eastAsia="宋体"/>
                <w:b/>
                <w:bCs/>
                <w:sz w:val="17"/>
                <w:szCs w:val="17"/>
              </w:rPr>
              <w:t>50000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CAC9E">
            <w:pPr>
              <w:spacing w:line="240" w:lineRule="auto"/>
              <w:jc w:val="left"/>
            </w:pPr>
          </w:p>
        </w:tc>
      </w:tr>
    </w:tbl>
    <w:p w14:paraId="0519DD5D">
      <w:pPr>
        <w:pStyle w:val="2"/>
        <w:spacing w:before="240" w:after="160"/>
      </w:pPr>
      <w:bookmarkStart w:id="6" w:name="_Toc6079"/>
      <w:r>
        <w:rPr>
          <w:rFonts w:ascii="Arial" w:eastAsia="黑体"/>
          <w:b/>
          <w:bCs/>
          <w:sz w:val="32"/>
          <w:szCs w:val="32"/>
        </w:rPr>
        <w:t>七、实施步骤与进度安排</w:t>
      </w:r>
      <w:bookmarkEnd w:id="6"/>
    </w:p>
    <w:p w14:paraId="5A9BAD4E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小程序建设与项目整体进度同步推进，按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框架开发—功能完善—运维优化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三个阶段分步实施，建立月度进度监测机制，确保按期上线、稳定运行。</w:t>
      </w:r>
    </w:p>
    <w:p w14:paraId="6D8F9E9C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第一阶段（框架开发，2026年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ascii="Times New Roman" w:eastAsia="宋体"/>
          <w:sz w:val="24"/>
          <w:szCs w:val="24"/>
        </w:rPr>
        <w:t>月—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ascii="Times New Roman" w:eastAsia="宋体"/>
          <w:sz w:val="24"/>
          <w:szCs w:val="24"/>
        </w:rPr>
        <w:t>月）：明确功能需求与页面结构，确定技术方案、视觉风格与展馆分类；完成微信小程序基础框架开发与核心功能模块（首页、课程、展馆等）建设，实现 iOS/Android 双端适配。</w:t>
      </w:r>
    </w:p>
    <w:p w14:paraId="47814ED5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第二阶段（功能完善与上线，2026年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ascii="Times New Roman" w:eastAsia="宋体"/>
          <w:sz w:val="24"/>
          <w:szCs w:val="24"/>
        </w:rPr>
        <w:t>月—8月）：完成全部功能模块开发，导入新闻资讯、线上展馆、课程中心、资源下载等内容，对接校内教学资源库，完成功能测试与管理员培训，平台正式上线运行。</w:t>
      </w:r>
    </w:p>
    <w:p w14:paraId="72FA675D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第三阶段（运维优化，2026年9月—1</w:t>
      </w:r>
      <w:r>
        <w:rPr>
          <w:rFonts w:hint="eastAsia"/>
          <w:sz w:val="24"/>
          <w:szCs w:val="24"/>
          <w:lang w:val="en-US" w:eastAsia="zh-CN"/>
        </w:rPr>
        <w:t>0</w:t>
      </w:r>
      <w:bookmarkStart w:id="8" w:name="_GoBack"/>
      <w:bookmarkEnd w:id="8"/>
      <w:r>
        <w:rPr>
          <w:rFonts w:ascii="Times New Roman" w:eastAsia="宋体"/>
          <w:sz w:val="24"/>
          <w:szCs w:val="24"/>
        </w:rPr>
        <w:t>月）：开展日常运维与安全更新，根据使用反馈优化功能体验，持续沉淀数字资源，形成可持续运行机制。</w:t>
      </w:r>
    </w:p>
    <w:p w14:paraId="40AC3092">
      <w:pPr>
        <w:pStyle w:val="2"/>
        <w:spacing w:before="240" w:after="160"/>
      </w:pPr>
      <w:bookmarkStart w:id="7" w:name="_Toc13221"/>
      <w:r>
        <w:rPr>
          <w:rFonts w:ascii="Arial" w:eastAsia="黑体"/>
          <w:b/>
          <w:bCs/>
          <w:sz w:val="32"/>
          <w:szCs w:val="32"/>
        </w:rPr>
        <w:t>八、预期成效</w:t>
      </w:r>
      <w:bookmarkEnd w:id="7"/>
    </w:p>
    <w:p w14:paraId="50C75F99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建成云端书院小程序 1 套，实现 iOS/Android 双端稳定运行，工程验收合格率达到 100%，成本控制率达到 100%，严格按照预算执行。</w:t>
      </w:r>
    </w:p>
    <w:p w14:paraId="5F813DE3">
      <w:pPr>
        <w:spacing w:after="80" w:line="360" w:lineRule="auto"/>
        <w:ind w:firstLine="480"/>
        <w:jc w:val="both"/>
      </w:pPr>
      <w:r>
        <w:rPr>
          <w:rFonts w:ascii="Times New Roman" w:eastAsia="宋体"/>
          <w:sz w:val="24"/>
          <w:szCs w:val="24"/>
        </w:rPr>
        <w:t>平台建成后，将形成集新闻资讯、线上展馆、课程中心、资源下载、活动报名于一体的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马院+书院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协同育人数字化平台，对接《指引》第 10 条线上线下相结合的教学方式要求，支撑学校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红桥e课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云端思政平台建设，为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通途之路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课程矩阵与研学品牌提供线上承载，全面提升书院文化传播力与育人服务能力，为学校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中特高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验收和申报省级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ascii="Times New Roman" w:eastAsia="宋体"/>
          <w:sz w:val="24"/>
          <w:szCs w:val="24"/>
        </w:rPr>
        <w:t>职教数字化转型典型案例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ascii="Times New Roman" w:eastAsia="宋体"/>
          <w:sz w:val="24"/>
          <w:szCs w:val="24"/>
        </w:rPr>
        <w:t>奠定坚实基础。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ABCBB">
    <w:pPr>
      <w:jc w:val="center"/>
    </w:pPr>
    <w:r>
      <w:rPr>
        <w:rFonts w:ascii="Times New Roman" w:eastAsia="宋体"/>
        <w:sz w:val="20"/>
        <w:szCs w:val="20"/>
      </w:rPr>
      <w:t xml:space="preserve">— </w:t>
    </w:r>
    <w:r>
      <w:rPr>
        <w:rFonts w:ascii="Times New Roman" w:eastAsia="宋体"/>
        <w:sz w:val="20"/>
        <w:szCs w:val="20"/>
      </w:rPr>
      <w:fldChar w:fldCharType="begin"/>
    </w:r>
    <w:r>
      <w:rPr>
        <w:rFonts w:ascii="Times New Roman" w:eastAsia="宋体"/>
        <w:sz w:val="20"/>
        <w:szCs w:val="20"/>
      </w:rPr>
      <w:instrText xml:space="preserve">PAGE</w:instrText>
    </w:r>
    <w:r>
      <w:rPr>
        <w:rFonts w:ascii="Times New Roman" w:eastAsia="宋体"/>
        <w:sz w:val="20"/>
        <w:szCs w:val="20"/>
      </w:rPr>
      <w:fldChar w:fldCharType="separate"/>
    </w:r>
    <w:r>
      <w:rPr>
        <w:rFonts w:ascii="Times New Roman" w:eastAsia="宋体"/>
        <w:sz w:val="20"/>
        <w:szCs w:val="20"/>
      </w:rPr>
      <w:fldChar w:fldCharType="end"/>
    </w:r>
    <w:r>
      <w:rPr>
        <w:rFonts w:ascii="Times New Roman" w:eastAsia="宋体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21B2C1C"/>
    <w:rsid w:val="56E64633"/>
    <w:rsid w:val="632B573B"/>
    <w:rsid w:val="7CFE25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Arial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60" w:after="100"/>
      <w:outlineLvl w:val="1"/>
    </w:pPr>
    <w:rPr>
      <w:rFonts w:ascii="Arial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eastAsia="宋体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11">
    <w:name w:val="Title"/>
    <w:qFormat/>
    <w:uiPriority w:val="0"/>
    <w:rPr>
      <w:rFonts w:ascii="Times New Roman" w:eastAsia="宋体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eastAsia="宋体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2216</Words>
  <Characters>2314</Characters>
  <TotalTime>3</TotalTime>
  <ScaleCrop>false</ScaleCrop>
  <LinksUpToDate>false</LinksUpToDate>
  <CharactersWithSpaces>2351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2026-06-03T09:35:00Z</dcterms:created>
  <dc:creator>Un-named</dc:creator>
  <cp:lastModifiedBy>小光leo</cp:lastModifiedBy>
  <dcterms:modified xsi:type="dcterms:W3CDTF">2026-06-03T09:43:40Z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eyJoZGlkIjoiMjU5ZjkxYWFiYTMxMzYwNTFiOTZlMzdkY2RiN2QxYzQiLCJ1c2VySWQiOiIzMDAzMjc1NTQifQ==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4FE45342C9494ECC8D51A56A70EA0D49_12</vt:lpwstr>
  </property>
</Properties>
</file>