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8"/>
          <w:sz w:val="40"/>
        </w:rPr>
        <w:t>Week 19 Practice – Domain-Specific Agent Concept Template</w:t>
      </w:r>
    </w:p>
    <w:p>
      <w:pPr>
        <w:spacing w:after="480"/>
        <w:jc w:val="center"/>
      </w:pPr>
      <w:r>
        <w:rPr>
          <w:i/>
          <w:color w:val="595959"/>
          <w:sz w:val="24"/>
        </w:rPr>
        <w:t>Capstone Project Draft: Business AI Operations Copilot (Decision Support Only)</w:t>
      </w:r>
    </w:p>
    <w:p>
      <w:pPr>
        <w:keepNext/>
        <w:spacing w:before="280" w:after="120"/>
      </w:pPr>
      <w:r>
        <w:rPr>
          <w:b/>
          <w:color w:val="1F4E78"/>
          <w:sz w:val="32"/>
        </w:rPr>
        <w:t>1. Concept Snapshot</w:t>
      </w:r>
    </w:p>
    <w:p>
      <w:pPr>
        <w:spacing w:after="200"/>
      </w:pPr>
      <w:r>
        <w:t>This snapshot represents a high-level operational brief designed for non-technical stakeholders to communicate intent, scope, and key safety parameters.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4680"/>
        <w:gridCol w:w="4680"/>
      </w:tblGrid>
      <w:tr>
        <w:tc>
          <w:tcPr>
            <w:tcW w:type="dxa" w:w="4680"/>
            <w:shd w:fill="1F4E78"/>
            <w:tcMar>
              <w:top w:w="120" w:type="dxa"/>
              <w:bottom w:w="120" w:type="dxa"/>
              <w:left w:w="180" w:type="dxa"/>
              <w:right w:w="180" w:type="dxa"/>
            </w:tcMar>
            <w:vAlign w:val="center"/>
          </w:tcPr>
          <w:p>
            <w:r>
              <w:rPr>
                <w:b/>
                <w:color w:val="FFFFFF"/>
              </w:rPr>
              <w:t>Field / Prompt</w:t>
            </w:r>
          </w:p>
        </w:tc>
        <w:tc>
          <w:tcPr>
            <w:tcW w:type="dxa" w:w="4680"/>
            <w:shd w:fill="1F4E78"/>
            <w:tcMar>
              <w:top w:w="120" w:type="dxa"/>
              <w:bottom w:w="120" w:type="dxa"/>
              <w:left w:w="180" w:type="dxa"/>
              <w:right w:w="180" w:type="dxa"/>
            </w:tcMar>
            <w:vAlign w:val="center"/>
          </w:tcPr>
          <w:p>
            <w:r>
              <w:rPr>
                <w:b/>
                <w:color w:val="FFFFFF"/>
              </w:rPr>
              <w:t>Your Notes &amp; Project Application</w:t>
            </w:r>
          </w:p>
        </w:tc>
      </w:tr>
      <w:tr>
        <w:tc>
          <w:tcPr>
            <w:tcW w:type="dxa" w:w="4680"/>
            <w:shd w:fill="F2F5F8"/>
            <w:tcMar>
              <w:top w:w="120" w:type="dxa"/>
              <w:bottom w:w="120" w:type="dxa"/>
              <w:left w:w="180" w:type="dxa"/>
              <w:right w:w="180" w:type="dxa"/>
            </w:tcMar>
            <w:vAlign w:val="center"/>
          </w:tcPr>
          <w:p>
            <w:r>
              <w:rPr>
                <w:b/>
              </w:rPr>
              <w:t>Agent name</w:t>
            </w:r>
          </w:p>
        </w:tc>
        <w:tc>
          <w:tcPr>
            <w:tcW w:type="dxa" w:w="4680"/>
            <w:shd w:fill="F2F5F8"/>
            <w:tcMar>
              <w:top w:w="120" w:type="dxa"/>
              <w:bottom w:w="120" w:type="dxa"/>
              <w:left w:w="180" w:type="dxa"/>
              <w:right w:w="180" w:type="dxa"/>
            </w:tcMar>
            <w:vAlign w:val="center"/>
          </w:tcPr>
          <w:p>
            <w:r>
              <w:t>LogiGuard Copilot (AI Supply Chain Operations Assistant)</w:t>
            </w:r>
          </w:p>
        </w:tc>
      </w:tr>
      <w:tr>
        <w:tc>
          <w:tcPr>
            <w:tcW w:type="dxa" w:w="4680"/>
            <w:shd w:fill="FFFFFF"/>
            <w:tcMar>
              <w:top w:w="120" w:type="dxa"/>
              <w:bottom w:w="120" w:type="dxa"/>
              <w:left w:w="180" w:type="dxa"/>
              <w:right w:w="180" w:type="dxa"/>
            </w:tcMar>
            <w:vAlign w:val="center"/>
          </w:tcPr>
          <w:p>
            <w:r>
              <w:rPr>
                <w:b/>
              </w:rPr>
              <w:t>Domain / industry</w:t>
            </w:r>
          </w:p>
        </w:tc>
        <w:tc>
          <w:tcPr>
            <w:tcW w:type="dxa" w:w="4680"/>
            <w:shd w:fill="FFFFFF"/>
            <w:tcMar>
              <w:top w:w="120" w:type="dxa"/>
              <w:bottom w:w="120" w:type="dxa"/>
              <w:left w:w="180" w:type="dxa"/>
              <w:right w:w="180" w:type="dxa"/>
            </w:tcMar>
            <w:vAlign w:val="center"/>
          </w:tcPr>
          <w:p>
            <w:r>
              <w:t>E-Commerce &amp; Retail Supply Chain Logistics</w:t>
            </w:r>
          </w:p>
        </w:tc>
      </w:tr>
      <w:tr>
        <w:tc>
          <w:tcPr>
            <w:tcW w:type="dxa" w:w="4680"/>
            <w:shd w:fill="F2F5F8"/>
            <w:tcMar>
              <w:top w:w="120" w:type="dxa"/>
              <w:bottom w:w="120" w:type="dxa"/>
              <w:left w:w="180" w:type="dxa"/>
              <w:right w:w="180" w:type="dxa"/>
            </w:tcMar>
            <w:vAlign w:val="center"/>
          </w:tcPr>
          <w:p>
            <w:r>
              <w:rPr>
                <w:b/>
              </w:rPr>
              <w:t>Target users</w:t>
            </w:r>
          </w:p>
        </w:tc>
        <w:tc>
          <w:tcPr>
            <w:tcW w:type="dxa" w:w="4680"/>
            <w:shd w:fill="F2F5F8"/>
            <w:tcMar>
              <w:top w:w="120" w:type="dxa"/>
              <w:bottom w:w="120" w:type="dxa"/>
              <w:left w:w="180" w:type="dxa"/>
              <w:right w:w="180" w:type="dxa"/>
            </w:tcMar>
            <w:vAlign w:val="center"/>
          </w:tcPr>
          <w:p>
            <w:r>
              <w:t>Supply Chain Analysts, Inventory Operations Managers, Procurement Coordinators</w:t>
            </w:r>
          </w:p>
        </w:tc>
      </w:tr>
      <w:tr>
        <w:tc>
          <w:tcPr>
            <w:tcW w:type="dxa" w:w="4680"/>
            <w:shd w:fill="FFFFFF"/>
            <w:tcMar>
              <w:top w:w="120" w:type="dxa"/>
              <w:bottom w:w="120" w:type="dxa"/>
              <w:left w:w="180" w:type="dxa"/>
              <w:right w:w="180" w:type="dxa"/>
            </w:tcMar>
            <w:vAlign w:val="center"/>
          </w:tcPr>
          <w:p>
            <w:r>
              <w:rPr>
                <w:b/>
              </w:rPr>
              <w:t>Business problem (1–2 sentences)</w:t>
            </w:r>
          </w:p>
        </w:tc>
        <w:tc>
          <w:tcPr>
            <w:tcW w:type="dxa" w:w="4680"/>
            <w:shd w:fill="FFFFFF"/>
            <w:tcMar>
              <w:top w:w="120" w:type="dxa"/>
              <w:bottom w:w="120" w:type="dxa"/>
              <w:left w:w="180" w:type="dxa"/>
              <w:right w:w="180" w:type="dxa"/>
            </w:tcMar>
            <w:vAlign w:val="center"/>
          </w:tcPr>
          <w:p>
            <w:r>
              <w:t>Operational fragmentation across independent shipping logs, supplier registries, and warehouse inventories leaves teams blind to how global macro-disruptions cause sudden local stockouts. This friction delays prescriptive alternative routing, leading to lost sales revenue and excessive emergency air-freight fees.</w:t>
            </w:r>
          </w:p>
        </w:tc>
      </w:tr>
      <w:tr>
        <w:tc>
          <w:tcPr>
            <w:tcW w:type="dxa" w:w="4680"/>
            <w:shd w:fill="F2F5F8"/>
            <w:tcMar>
              <w:top w:w="120" w:type="dxa"/>
              <w:bottom w:w="120" w:type="dxa"/>
              <w:left w:w="180" w:type="dxa"/>
              <w:right w:w="180" w:type="dxa"/>
            </w:tcMar>
            <w:vAlign w:val="center"/>
          </w:tcPr>
          <w:p>
            <w:r>
              <w:rPr>
                <w:b/>
              </w:rPr>
              <w:t>Agent role</w:t>
            </w:r>
          </w:p>
        </w:tc>
        <w:tc>
          <w:tcPr>
            <w:tcW w:type="dxa" w:w="4680"/>
            <w:shd w:fill="F2F5F8"/>
            <w:tcMar>
              <w:top w:w="120" w:type="dxa"/>
              <w:bottom w:w="120" w:type="dxa"/>
              <w:left w:w="180" w:type="dxa"/>
              <w:right w:w="180" w:type="dxa"/>
            </w:tcMar>
            <w:vAlign w:val="center"/>
          </w:tcPr>
          <w:p>
            <w:r>
              <w:t>Advise / Augment (Hybrid - Decision Support Only)</w:t>
            </w:r>
          </w:p>
        </w:tc>
      </w:tr>
      <w:tr>
        <w:tc>
          <w:tcPr>
            <w:tcW w:type="dxa" w:w="4680"/>
            <w:shd w:fill="FFFFFF"/>
            <w:tcMar>
              <w:top w:w="120" w:type="dxa"/>
              <w:bottom w:w="120" w:type="dxa"/>
              <w:left w:w="180" w:type="dxa"/>
              <w:right w:w="180" w:type="dxa"/>
            </w:tcMar>
            <w:vAlign w:val="center"/>
          </w:tcPr>
          <w:p>
            <w:r>
              <w:rPr>
                <w:b/>
              </w:rPr>
              <w:t>Autonomy boundary</w:t>
            </w:r>
          </w:p>
        </w:tc>
        <w:tc>
          <w:tcPr>
            <w:tcW w:type="dxa" w:w="4680"/>
            <w:shd w:fill="FFFFFF"/>
            <w:tcMar>
              <w:top w:w="120" w:type="dxa"/>
              <w:bottom w:w="120" w:type="dxa"/>
              <w:left w:w="180" w:type="dxa"/>
              <w:right w:w="180" w:type="dxa"/>
            </w:tcMar>
            <w:vAlign w:val="center"/>
          </w:tcPr>
          <w:p>
            <w:r>
              <w:t>Strictly bounded to read-only data ingestion, multi-source cross-referencing, dependency synthesis, risk mapping, and report generation. The agent is entirely prohibited from writing to database files, modifying active shipment entries, executing automated API procurement cycles, or contacting external partners.</w:t>
            </w:r>
          </w:p>
        </w:tc>
      </w:tr>
      <w:tr>
        <w:tc>
          <w:tcPr>
            <w:tcW w:type="dxa" w:w="4680"/>
            <w:shd w:fill="F2F5F8"/>
            <w:tcMar>
              <w:top w:w="120" w:type="dxa"/>
              <w:bottom w:w="120" w:type="dxa"/>
              <w:left w:w="180" w:type="dxa"/>
              <w:right w:w="180" w:type="dxa"/>
            </w:tcMar>
            <w:vAlign w:val="center"/>
          </w:tcPr>
          <w:p>
            <w:r>
              <w:rPr>
                <w:b/>
              </w:rPr>
              <w:t>Human oversight points</w:t>
            </w:r>
          </w:p>
        </w:tc>
        <w:tc>
          <w:tcPr>
            <w:tcW w:type="dxa" w:w="4680"/>
            <w:shd w:fill="F2F5F8"/>
            <w:tcMar>
              <w:top w:w="120" w:type="dxa"/>
              <w:bottom w:w="120" w:type="dxa"/>
              <w:left w:w="180" w:type="dxa"/>
              <w:right w:w="180" w:type="dxa"/>
            </w:tcMar>
            <w:vAlign w:val="center"/>
          </w:tcPr>
          <w:p>
            <w:r>
              <w:t>A human analyst must manually review all generated operational risk memos, approve and transmit any communication drafts, and manually process all execution paths (e.g., placing backup orders, rerouting freight) within the core enterprise ERP system.</w:t>
            </w:r>
          </w:p>
        </w:tc>
      </w:tr>
      <w:tr>
        <w:tc>
          <w:tcPr>
            <w:tcW w:type="dxa" w:w="4680"/>
            <w:shd w:fill="FFFFFF"/>
            <w:tcMar>
              <w:top w:w="120" w:type="dxa"/>
              <w:bottom w:w="120" w:type="dxa"/>
              <w:left w:w="180" w:type="dxa"/>
              <w:right w:w="180" w:type="dxa"/>
            </w:tcMar>
            <w:vAlign w:val="center"/>
          </w:tcPr>
          <w:p>
            <w:r>
              <w:rPr>
                <w:b/>
              </w:rPr>
              <w:t>Inputs and data sources</w:t>
            </w:r>
          </w:p>
        </w:tc>
        <w:tc>
          <w:tcPr>
            <w:tcW w:type="dxa" w:w="4680"/>
            <w:shd w:fill="FFFFFF"/>
            <w:tcMar>
              <w:top w:w="120" w:type="dxa"/>
              <w:bottom w:w="120" w:type="dxa"/>
              <w:left w:w="180" w:type="dxa"/>
              <w:right w:w="180" w:type="dxa"/>
            </w:tcMar>
            <w:vAlign w:val="center"/>
          </w:tcPr>
          <w:p>
            <w:r>
              <w:t>Internal flat files (mocked as clean, normalized relational systems): 'inventory.csv' (live stock counts, reorder boundaries, item costs), 'shipments.csv' (inbound transit logs, destination ports, ETAs), 'disruptions.csv' (macro logistical impediments like port strikes, extreme weather), and 'suppliers.csv' (lead times, baseline regions, escalations data).</w:t>
            </w:r>
          </w:p>
        </w:tc>
      </w:tr>
      <w:tr>
        <w:tc>
          <w:tcPr>
            <w:tcW w:type="dxa" w:w="4680"/>
            <w:shd w:fill="F2F5F8"/>
            <w:tcMar>
              <w:top w:w="120" w:type="dxa"/>
              <w:bottom w:w="120" w:type="dxa"/>
              <w:left w:w="180" w:type="dxa"/>
              <w:right w:w="180" w:type="dxa"/>
            </w:tcMar>
            <w:vAlign w:val="center"/>
          </w:tcPr>
          <w:p>
            <w:r>
              <w:rPr>
                <w:b/>
              </w:rPr>
              <w:t>Tools/systems it interacts with</w:t>
            </w:r>
          </w:p>
        </w:tc>
        <w:tc>
          <w:tcPr>
            <w:tcW w:type="dxa" w:w="4680"/>
            <w:shd w:fill="F2F5F8"/>
            <w:tcMar>
              <w:top w:w="120" w:type="dxa"/>
              <w:bottom w:w="120" w:type="dxa"/>
              <w:left w:w="180" w:type="dxa"/>
              <w:right w:w="180" w:type="dxa"/>
            </w:tcMar>
            <w:vAlign w:val="center"/>
          </w:tcPr>
          <w:p>
            <w:r>
              <w:t>Python-based analytical retrieval wrappers leveraging Pandas dataframes to search, aggregate, and cross-reference structured tables without persistent modification layers.</w:t>
            </w:r>
          </w:p>
        </w:tc>
      </w:tr>
      <w:tr>
        <w:tc>
          <w:tcPr>
            <w:tcW w:type="dxa" w:w="4680"/>
            <w:shd w:fill="FFFFFF"/>
            <w:tcMar>
              <w:top w:w="120" w:type="dxa"/>
              <w:bottom w:w="120" w:type="dxa"/>
              <w:left w:w="180" w:type="dxa"/>
              <w:right w:w="180" w:type="dxa"/>
            </w:tcMar>
            <w:vAlign w:val="center"/>
          </w:tcPr>
          <w:p>
            <w:r>
              <w:rPr>
                <w:b/>
              </w:rPr>
              <w:t>Expected outputs/deliverables</w:t>
            </w:r>
          </w:p>
        </w:tc>
        <w:tc>
          <w:tcPr>
            <w:tcW w:type="dxa" w:w="4680"/>
            <w:shd w:fill="FFFFFF"/>
            <w:tcMar>
              <w:top w:w="120" w:type="dxa"/>
              <w:bottom w:w="120" w:type="dxa"/>
              <w:left w:w="180" w:type="dxa"/>
              <w:right w:w="180" w:type="dxa"/>
            </w:tcMar>
            <w:vAlign w:val="center"/>
          </w:tcPr>
          <w:p>
            <w:r>
              <w:t>Comprehensive Supply Chain Risk Memos, SKU stockout alerts equipped with calculated uncertainty arrival windows, and structured draft outreach email configurations aimed at disrupted vendors.</w:t>
            </w:r>
          </w:p>
        </w:tc>
      </w:tr>
      <w:tr>
        <w:tc>
          <w:tcPr>
            <w:tcW w:type="dxa" w:w="4680"/>
            <w:shd w:fill="F2F5F8"/>
            <w:tcMar>
              <w:top w:w="120" w:type="dxa"/>
              <w:bottom w:w="120" w:type="dxa"/>
              <w:left w:w="180" w:type="dxa"/>
              <w:right w:w="180" w:type="dxa"/>
            </w:tcMar>
            <w:vAlign w:val="center"/>
          </w:tcPr>
          <w:p>
            <w:r>
              <w:rPr>
                <w:b/>
              </w:rPr>
              <w:t>Success metrics (2 quantitative)</w:t>
            </w:r>
          </w:p>
        </w:tc>
        <w:tc>
          <w:tcPr>
            <w:tcW w:type="dxa" w:w="4680"/>
            <w:shd w:fill="F2F5F8"/>
            <w:tcMar>
              <w:top w:w="120" w:type="dxa"/>
              <w:bottom w:w="120" w:type="dxa"/>
              <w:left w:w="180" w:type="dxa"/>
              <w:right w:w="180" w:type="dxa"/>
            </w:tcMar>
            <w:vAlign w:val="center"/>
          </w:tcPr>
          <w:p>
            <w:r>
              <w:t>1. Mean Time to Risk Identification (MTTRI) slashed from an average of 4.5 hours down to under 30 seconds across an active regional bottleneck event.</w:t>
              <w:br/>
              <w:t>2. 100% adherence to read-only operational boundaries (exactly zero unauthorized database write attempts or automatic payload triggers).</w:t>
            </w:r>
          </w:p>
        </w:tc>
      </w:tr>
      <w:tr>
        <w:tc>
          <w:tcPr>
            <w:tcW w:type="dxa" w:w="4680"/>
            <w:shd w:fill="FFFFFF"/>
            <w:tcMar>
              <w:top w:w="120" w:type="dxa"/>
              <w:bottom w:w="120" w:type="dxa"/>
              <w:left w:w="180" w:type="dxa"/>
              <w:right w:w="180" w:type="dxa"/>
            </w:tcMar>
            <w:vAlign w:val="center"/>
          </w:tcPr>
          <w:p>
            <w:r>
              <w:rPr>
                <w:b/>
              </w:rPr>
              <w:t>Success metrics (2 qualitative)</w:t>
            </w:r>
          </w:p>
        </w:tc>
        <w:tc>
          <w:tcPr>
            <w:tcW w:type="dxa" w:w="4680"/>
            <w:shd w:fill="FFFFFF"/>
            <w:tcMar>
              <w:top w:w="120" w:type="dxa"/>
              <w:bottom w:w="120" w:type="dxa"/>
              <w:left w:w="180" w:type="dxa"/>
              <w:right w:w="180" w:type="dxa"/>
            </w:tcMar>
            <w:vAlign w:val="center"/>
          </w:tcPr>
          <w:p>
            <w:r>
              <w:t>1. Operator Trust Score exceeding 85% on post-pilot validation surveys, heavily anchored on the clarity and precision of the agent's uncertainty reporting metrics.</w:t>
              <w:br/>
              <w:t>2. Noticeable reduction in cognitive overload and decision paralysis reported by human analysts during macro supply chain crisis windows.</w:t>
            </w:r>
          </w:p>
        </w:tc>
      </w:tr>
      <w:tr>
        <w:tc>
          <w:tcPr>
            <w:tcW w:type="dxa" w:w="4680"/>
            <w:shd w:fill="F2F5F8"/>
            <w:tcMar>
              <w:top w:w="120" w:type="dxa"/>
              <w:bottom w:w="120" w:type="dxa"/>
              <w:left w:w="180" w:type="dxa"/>
              <w:right w:w="180" w:type="dxa"/>
            </w:tcMar>
            <w:vAlign w:val="center"/>
          </w:tcPr>
          <w:p>
            <w:r>
              <w:rPr>
                <w:b/>
              </w:rPr>
              <w:t>ROI hypothesis</w:t>
            </w:r>
          </w:p>
        </w:tc>
        <w:tc>
          <w:tcPr>
            <w:tcW w:type="dxa" w:w="4680"/>
            <w:shd w:fill="F2F5F8"/>
            <w:tcMar>
              <w:top w:w="120" w:type="dxa"/>
              <w:bottom w:w="120" w:type="dxa"/>
              <w:left w:w="180" w:type="dxa"/>
              <w:right w:w="180" w:type="dxa"/>
            </w:tcMar>
            <w:vAlign w:val="center"/>
          </w:tcPr>
          <w:p>
            <w:r>
              <w:t>By identifying critical stockout exposure in seconds rather than days during global transport events, logistics teams can secure space with secondary regional suppliers ahead of competitors, preserving an estimated 15% to 20% of at-risk seasonal retail revenue.</w:t>
            </w:r>
          </w:p>
        </w:tc>
      </w:tr>
      <w:tr>
        <w:tc>
          <w:tcPr>
            <w:tcW w:type="dxa" w:w="4680"/>
            <w:shd w:fill="FFFFFF"/>
            <w:tcMar>
              <w:top w:w="120" w:type="dxa"/>
              <w:bottom w:w="120" w:type="dxa"/>
              <w:left w:w="180" w:type="dxa"/>
              <w:right w:w="180" w:type="dxa"/>
            </w:tcMar>
            <w:vAlign w:val="center"/>
          </w:tcPr>
          <w:p>
            <w:r>
              <w:rPr>
                <w:b/>
              </w:rPr>
              <w:t>Top 2 risks</w:t>
            </w:r>
          </w:p>
        </w:tc>
        <w:tc>
          <w:tcPr>
            <w:tcW w:type="dxa" w:w="4680"/>
            <w:shd w:fill="FFFFFF"/>
            <w:tcMar>
              <w:top w:w="120" w:type="dxa"/>
              <w:bottom w:w="120" w:type="dxa"/>
              <w:left w:w="180" w:type="dxa"/>
              <w:right w:w="180" w:type="dxa"/>
            </w:tcMar>
            <w:vAlign w:val="center"/>
          </w:tcPr>
          <w:p>
            <w:r>
              <w:t>1. Algorithmic Hallucination: The agent projecting a precise, fictitious arrival date during a volatile, unpredictable macroeconomic impediment (e.g., a massive port strike).</w:t>
              <w:br/>
              <w:t>2. Plain-Text Sensitive Data Leakage: Corporate contract pricing parameters or vendor contact PII being stored implicitly inside plain-text application debugging logs.</w:t>
            </w:r>
          </w:p>
        </w:tc>
      </w:tr>
      <w:tr>
        <w:tc>
          <w:tcPr>
            <w:tcW w:type="dxa" w:w="4680"/>
            <w:shd w:fill="F2F5F8"/>
            <w:tcMar>
              <w:top w:w="120" w:type="dxa"/>
              <w:bottom w:w="120" w:type="dxa"/>
              <w:left w:w="180" w:type="dxa"/>
              <w:right w:w="180" w:type="dxa"/>
            </w:tcMar>
            <w:vAlign w:val="center"/>
          </w:tcPr>
          <w:p>
            <w:r>
              <w:rPr>
                <w:b/>
              </w:rPr>
              <w:t>Mitigations/safeguards</w:t>
            </w:r>
          </w:p>
        </w:tc>
        <w:tc>
          <w:tcPr>
            <w:tcW w:type="dxa" w:w="4680"/>
            <w:shd w:fill="F2F5F8"/>
            <w:tcMar>
              <w:top w:w="120" w:type="dxa"/>
              <w:bottom w:w="120" w:type="dxa"/>
              <w:left w:w="180" w:type="dxa"/>
              <w:right w:w="180" w:type="dxa"/>
            </w:tcMar>
            <w:vAlign w:val="center"/>
          </w:tcPr>
          <w:p>
            <w:r>
              <w:t>1. Hardcoding model temperature parameter to 0.0, backed by custom evaluation logic that enforces broad confidence bounds and explicit verbal uncertainty statements.</w:t>
              <w:br/>
              <w:t>2. Integration of a programmatic pre-logging interceptor masking engine that strips out or replaces PII string parameters prior to permanent text file log allocation.</w:t>
            </w:r>
          </w:p>
        </w:tc>
      </w:tr>
      <w:tr>
        <w:tc>
          <w:tcPr>
            <w:tcW w:type="dxa" w:w="4680"/>
            <w:shd w:fill="FFFFFF"/>
            <w:tcMar>
              <w:top w:w="120" w:type="dxa"/>
              <w:bottom w:w="120" w:type="dxa"/>
              <w:left w:w="180" w:type="dxa"/>
              <w:right w:w="180" w:type="dxa"/>
            </w:tcMar>
            <w:vAlign w:val="center"/>
          </w:tcPr>
          <w:p>
            <w:r>
              <w:rPr>
                <w:b/>
              </w:rPr>
              <w:t>MVP scope (first version)</w:t>
            </w:r>
          </w:p>
        </w:tc>
        <w:tc>
          <w:tcPr>
            <w:tcW w:type="dxa" w:w="4680"/>
            <w:shd w:fill="FFFFFF"/>
            <w:tcMar>
              <w:top w:w="120" w:type="dxa"/>
              <w:bottom w:w="120" w:type="dxa"/>
              <w:left w:w="180" w:type="dxa"/>
              <w:right w:w="180" w:type="dxa"/>
            </w:tcMar>
            <w:vAlign w:val="center"/>
          </w:tcPr>
          <w:p>
            <w:r>
              <w:t>A clean terminal-driven Python console workspace that ingests the four standardized, normalized operational CSV matrices. It allows an operator to submit regional queries and automatically isolates vulnerable product categories impacted by concurrent supply chain delays.</w:t>
            </w:r>
          </w:p>
        </w:tc>
      </w:tr>
      <w:tr>
        <w:tc>
          <w:tcPr>
            <w:tcW w:type="dxa" w:w="4680"/>
            <w:shd w:fill="F2F5F8"/>
            <w:tcMar>
              <w:top w:w="120" w:type="dxa"/>
              <w:bottom w:w="120" w:type="dxa"/>
              <w:left w:w="180" w:type="dxa"/>
              <w:right w:w="180" w:type="dxa"/>
            </w:tcMar>
            <w:vAlign w:val="center"/>
          </w:tcPr>
          <w:p>
            <w:r>
              <w:rPr>
                <w:b/>
              </w:rPr>
              <w:t>Non-goals</w:t>
            </w:r>
          </w:p>
        </w:tc>
        <w:tc>
          <w:tcPr>
            <w:tcW w:type="dxa" w:w="4680"/>
            <w:shd w:fill="F2F5F8"/>
            <w:tcMar>
              <w:top w:w="120" w:type="dxa"/>
              <w:bottom w:w="120" w:type="dxa"/>
              <w:left w:w="180" w:type="dxa"/>
              <w:right w:w="180" w:type="dxa"/>
            </w:tcMar>
            <w:vAlign w:val="center"/>
          </w:tcPr>
          <w:p>
            <w:r>
              <w:t>This agent will not construct long-term macroeconomic consumer demand predictions, synchronize with real-time active carrier telematics or GPS coordinate grids, optimize localized warehouse stock layouts, or participate in multi-agent structural procurement negotiations.</w:t>
            </w:r>
          </w:p>
        </w:tc>
      </w:tr>
    </w:tbl>
    <w:p>
      <w:pPr>
        <w:keepNext/>
        <w:spacing w:before="280" w:after="120"/>
      </w:pPr>
      <w:r>
        <w:rPr>
          <w:b/>
          <w:color w:val="1F4E78"/>
          <w:sz w:val="32"/>
        </w:rPr>
        <w:t>2. Problem and Context</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4680"/>
        <w:gridCol w:w="4680"/>
      </w:tblGrid>
      <w:tr>
        <w:tc>
          <w:tcPr>
            <w:tcW w:type="dxa" w:w="4680"/>
            <w:shd w:fill="1F4E78"/>
            <w:tcMar>
              <w:top w:w="120" w:type="dxa"/>
              <w:bottom w:w="120" w:type="dxa"/>
              <w:left w:w="180" w:type="dxa"/>
              <w:right w:w="180" w:type="dxa"/>
            </w:tcMar>
            <w:vAlign w:val="center"/>
          </w:tcPr>
          <w:p>
            <w:r>
              <w:rPr>
                <w:b/>
                <w:color w:val="FFFFFF"/>
              </w:rPr>
              <w:t>Field / Prompt</w:t>
            </w:r>
          </w:p>
        </w:tc>
        <w:tc>
          <w:tcPr>
            <w:tcW w:type="dxa" w:w="4680"/>
            <w:shd w:fill="1F4E78"/>
            <w:tcMar>
              <w:top w:w="120" w:type="dxa"/>
              <w:bottom w:w="120" w:type="dxa"/>
              <w:left w:w="180" w:type="dxa"/>
              <w:right w:w="180" w:type="dxa"/>
            </w:tcMar>
            <w:vAlign w:val="center"/>
          </w:tcPr>
          <w:p>
            <w:r>
              <w:rPr>
                <w:b/>
                <w:color w:val="FFFFFF"/>
              </w:rPr>
              <w:t>Your Notes &amp; Project Application</w:t>
            </w:r>
          </w:p>
        </w:tc>
      </w:tr>
      <w:tr>
        <w:tc>
          <w:tcPr>
            <w:tcW w:type="dxa" w:w="4680"/>
            <w:shd w:fill="F2F5F8"/>
            <w:tcMar>
              <w:top w:w="120" w:type="dxa"/>
              <w:bottom w:w="120" w:type="dxa"/>
              <w:left w:w="180" w:type="dxa"/>
              <w:right w:w="180" w:type="dxa"/>
            </w:tcMar>
            <w:vAlign w:val="center"/>
          </w:tcPr>
          <w:p>
            <w:r>
              <w:rPr>
                <w:b/>
              </w:rPr>
              <w:t>Current workflow (today)</w:t>
            </w:r>
          </w:p>
        </w:tc>
        <w:tc>
          <w:tcPr>
            <w:tcW w:type="dxa" w:w="4680"/>
            <w:shd w:fill="F2F5F8"/>
            <w:tcMar>
              <w:top w:w="120" w:type="dxa"/>
              <w:bottom w:w="120" w:type="dxa"/>
              <w:left w:w="180" w:type="dxa"/>
              <w:right w:w="180" w:type="dxa"/>
            </w:tcMar>
            <w:vAlign w:val="center"/>
          </w:tcPr>
          <w:p>
            <w:r>
              <w:t>Logistics personnel manually review separate inventory databases, ocean freight manifests, and external risk reports via Excel schedules on a weekly cadence. When a disruptive regional incident occurs, analysts must manually track down all active purchase orders corresponding to the region, extract item IDs, look up current warehouse balances individually, and mentally calculate potential stock depletion timelines.</w:t>
            </w:r>
          </w:p>
        </w:tc>
      </w:tr>
      <w:tr>
        <w:tc>
          <w:tcPr>
            <w:tcW w:type="dxa" w:w="4680"/>
            <w:shd w:fill="FFFFFF"/>
            <w:tcMar>
              <w:top w:w="120" w:type="dxa"/>
              <w:bottom w:w="120" w:type="dxa"/>
              <w:left w:w="180" w:type="dxa"/>
              <w:right w:w="180" w:type="dxa"/>
            </w:tcMar>
            <w:vAlign w:val="center"/>
          </w:tcPr>
          <w:p>
            <w:r>
              <w:rPr>
                <w:b/>
              </w:rPr>
              <w:t>Where time/cost/errors occur</w:t>
            </w:r>
          </w:p>
        </w:tc>
        <w:tc>
          <w:tcPr>
            <w:tcW w:type="dxa" w:w="4680"/>
            <w:shd w:fill="FFFFFF"/>
            <w:tcMar>
              <w:top w:w="120" w:type="dxa"/>
              <w:bottom w:w="120" w:type="dxa"/>
              <w:left w:w="180" w:type="dxa"/>
              <w:right w:w="180" w:type="dxa"/>
            </w:tcMar>
            <w:vAlign w:val="center"/>
          </w:tcPr>
          <w:p>
            <w:r>
              <w:t>Massive friction exists in the data translation step across disparate worksheets. Delays of 24–72 hours occur before an active disruption's commercial inventory impact is completely uncovered. Transcription errors happen frequently during manual VLOOKUP operations, driving delayed procurement decisions that mandate exorbitant overnight air-shipping premiums to avoid catastrophic out-of-stock retail windows.</w:t>
            </w:r>
          </w:p>
        </w:tc>
      </w:tr>
      <w:tr>
        <w:tc>
          <w:tcPr>
            <w:tcW w:type="dxa" w:w="4680"/>
            <w:shd w:fill="F2F5F8"/>
            <w:tcMar>
              <w:top w:w="120" w:type="dxa"/>
              <w:bottom w:w="120" w:type="dxa"/>
              <w:left w:w="180" w:type="dxa"/>
              <w:right w:w="180" w:type="dxa"/>
            </w:tcMar>
            <w:vAlign w:val="center"/>
          </w:tcPr>
          <w:p>
            <w:r>
              <w:rPr>
                <w:b/>
              </w:rPr>
              <w:t>Constraints</w:t>
            </w:r>
          </w:p>
        </w:tc>
        <w:tc>
          <w:tcPr>
            <w:tcW w:type="dxa" w:w="4680"/>
            <w:shd w:fill="F2F5F8"/>
            <w:tcMar>
              <w:top w:w="120" w:type="dxa"/>
              <w:bottom w:w="120" w:type="dxa"/>
              <w:left w:w="180" w:type="dxa"/>
              <w:right w:w="180" w:type="dxa"/>
            </w:tcMar>
            <w:vAlign w:val="center"/>
          </w:tcPr>
          <w:p>
            <w:r>
              <w:t>Internal transactional infrastructures are strict and read-only due to standard IT governance and corporate compliance frameworks; direct, unmoderated tool writes are fundamentally barred. Furthermore, no proprietary vendor pricing configurations or employee PII may be logged in plaintext during operational query executions.</w:t>
            </w:r>
          </w:p>
        </w:tc>
      </w:tr>
      <w:tr>
        <w:tc>
          <w:tcPr>
            <w:tcW w:type="dxa" w:w="4680"/>
            <w:shd w:fill="FFFFFF"/>
            <w:tcMar>
              <w:top w:w="120" w:type="dxa"/>
              <w:bottom w:w="120" w:type="dxa"/>
              <w:left w:w="180" w:type="dxa"/>
              <w:right w:w="180" w:type="dxa"/>
            </w:tcMar>
            <w:vAlign w:val="center"/>
          </w:tcPr>
          <w:p>
            <w:r>
              <w:rPr>
                <w:b/>
              </w:rPr>
              <w:t>Why now?</w:t>
            </w:r>
          </w:p>
        </w:tc>
        <w:tc>
          <w:tcPr>
            <w:tcW w:type="dxa" w:w="4680"/>
            <w:shd w:fill="FFFFFF"/>
            <w:tcMar>
              <w:top w:w="120" w:type="dxa"/>
              <w:bottom w:w="120" w:type="dxa"/>
              <w:left w:w="180" w:type="dxa"/>
              <w:right w:w="180" w:type="dxa"/>
            </w:tcMar>
            <w:vAlign w:val="center"/>
          </w:tcPr>
          <w:p>
            <w:r>
              <w:t>Unprecedented global shipping volatility, labor disruptions at key shipping lanes, and climate-induced canal restrictions mean logistics friction has shifted from an occasional nuance to a constant operational hazard. Standard rigid RPA systems cannot resolve the text-heavy, unlinked semantic gaps present in multi-source data streams, whereas Agentic AI handles cross-referencing seamlessly.</w:t>
            </w:r>
          </w:p>
        </w:tc>
      </w:tr>
    </w:tbl>
    <w:p>
      <w:pPr>
        <w:keepNext/>
        <w:spacing w:before="280" w:after="120"/>
      </w:pPr>
      <w:r>
        <w:rPr>
          <w:b/>
          <w:color w:val="1F4E78"/>
          <w:sz w:val="32"/>
        </w:rPr>
        <w:t>3. Proposed Agent Workflow</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4680"/>
        <w:gridCol w:w="4680"/>
      </w:tblGrid>
      <w:tr>
        <w:tc>
          <w:tcPr>
            <w:tcW w:type="dxa" w:w="4680"/>
            <w:shd w:fill="1F4E78"/>
            <w:tcMar>
              <w:top w:w="120" w:type="dxa"/>
              <w:bottom w:w="120" w:type="dxa"/>
              <w:left w:w="180" w:type="dxa"/>
              <w:right w:w="180" w:type="dxa"/>
            </w:tcMar>
            <w:vAlign w:val="center"/>
          </w:tcPr>
          <w:p>
            <w:r>
              <w:rPr>
                <w:b/>
                <w:color w:val="FFFFFF"/>
              </w:rPr>
              <w:t>Field / Prompt</w:t>
            </w:r>
          </w:p>
        </w:tc>
        <w:tc>
          <w:tcPr>
            <w:tcW w:type="dxa" w:w="4680"/>
            <w:shd w:fill="1F4E78"/>
            <w:tcMar>
              <w:top w:w="120" w:type="dxa"/>
              <w:bottom w:w="120" w:type="dxa"/>
              <w:left w:w="180" w:type="dxa"/>
              <w:right w:w="180" w:type="dxa"/>
            </w:tcMar>
            <w:vAlign w:val="center"/>
          </w:tcPr>
          <w:p>
            <w:r>
              <w:rPr>
                <w:b/>
                <w:color w:val="FFFFFF"/>
              </w:rPr>
              <w:t>Your Notes &amp; Project Application</w:t>
            </w:r>
          </w:p>
        </w:tc>
      </w:tr>
      <w:tr>
        <w:tc>
          <w:tcPr>
            <w:tcW w:type="dxa" w:w="4680"/>
            <w:shd w:fill="F2F5F8"/>
            <w:tcMar>
              <w:top w:w="120" w:type="dxa"/>
              <w:bottom w:w="120" w:type="dxa"/>
              <w:left w:w="180" w:type="dxa"/>
              <w:right w:w="180" w:type="dxa"/>
            </w:tcMar>
            <w:vAlign w:val="center"/>
          </w:tcPr>
          <w:p>
            <w:r>
              <w:rPr>
                <w:b/>
              </w:rPr>
              <w:t>Step-by-step flow (5–8 steps)</w:t>
            </w:r>
          </w:p>
        </w:tc>
        <w:tc>
          <w:tcPr>
            <w:tcW w:type="dxa" w:w="4680"/>
            <w:shd w:fill="F2F5F8"/>
            <w:tcMar>
              <w:top w:w="120" w:type="dxa"/>
              <w:bottom w:w="120" w:type="dxa"/>
              <w:left w:w="180" w:type="dxa"/>
              <w:right w:w="180" w:type="dxa"/>
            </w:tcMar>
            <w:vAlign w:val="center"/>
          </w:tcPr>
          <w:p>
            <w:r>
              <w:t>1. INTAKE: The operator provides a text command identifying a targeted region or product category.</w:t>
              <w:br/>
              <w:t>2. DISRUPTION RETRIEVAL: The agent calls the check_active_disruptions tool to identify ongoing regional incidents.</w:t>
              <w:br/>
              <w:t>3. LOGISTICS MONITORING: The agent executes get_shipment_status to capture delayed ocean/air freight manifests corresponding to the region.</w:t>
              <w:br/>
              <w:t>4. INVENTORY ANALYSIS: The agent activates query_inventory_levels to cross-reference vulnerable SKUs with current warehouse volumes.</w:t>
              <w:br/>
              <w:t>5. EVALUATION: An internal self-correction check assesses data gaps and quantifies uncertainty dimensions.</w:t>
              <w:br/>
              <w:t>6. PRESCRIPTIVE SYNTHESIS: The agent matches exposed items with alternative vendor profiles located in suppliers.csv.</w:t>
              <w:br/>
              <w:t>7. DRAFTING: The agent generates an unified operational report detailing findings, safety metrics, and supplier outreach templates.</w:t>
              <w:br/>
              <w:t>8. SANITIZATION &amp; LOGGING: The text runs through an anonymization step, logs metadata cleanly, and surfaces the final dashboard presentation to the human user.</w:t>
            </w:r>
          </w:p>
        </w:tc>
      </w:tr>
      <w:tr>
        <w:tc>
          <w:tcPr>
            <w:tcW w:type="dxa" w:w="4680"/>
            <w:shd w:fill="FFFFFF"/>
            <w:tcMar>
              <w:top w:w="120" w:type="dxa"/>
              <w:bottom w:w="120" w:type="dxa"/>
              <w:left w:w="180" w:type="dxa"/>
              <w:right w:w="180" w:type="dxa"/>
            </w:tcMar>
            <w:vAlign w:val="center"/>
          </w:tcPr>
          <w:p>
            <w:r>
              <w:rPr>
                <w:b/>
              </w:rPr>
              <w:t>Decision points</w:t>
            </w:r>
          </w:p>
        </w:tc>
        <w:tc>
          <w:tcPr>
            <w:tcW w:type="dxa" w:w="4680"/>
            <w:shd w:fill="FFFFFF"/>
            <w:tcMar>
              <w:top w:w="120" w:type="dxa"/>
              <w:bottom w:w="120" w:type="dxa"/>
              <w:left w:w="180" w:type="dxa"/>
              <w:right w:w="180" w:type="dxa"/>
            </w:tcMar>
            <w:vAlign w:val="center"/>
          </w:tcPr>
          <w:p>
            <w:r>
              <w:t>The agent classifies a product sequence as 'Critical Risk' if an active regional disruption severity ranks higher than level 3 AND the matching SKU's projected warehouse volume drops below its mandatory safety stock baseline. It relies strictly on mathematical threshold data extracted via its structured data tools.</w:t>
            </w:r>
          </w:p>
        </w:tc>
      </w:tr>
      <w:tr>
        <w:tc>
          <w:tcPr>
            <w:tcW w:type="dxa" w:w="4680"/>
            <w:shd w:fill="F2F5F8"/>
            <w:tcMar>
              <w:top w:w="120" w:type="dxa"/>
              <w:bottom w:w="120" w:type="dxa"/>
              <w:left w:w="180" w:type="dxa"/>
              <w:right w:w="180" w:type="dxa"/>
            </w:tcMar>
            <w:vAlign w:val="center"/>
          </w:tcPr>
          <w:p>
            <w:r>
              <w:rPr>
                <w:b/>
              </w:rPr>
              <w:t>Tool use</w:t>
            </w:r>
          </w:p>
        </w:tc>
        <w:tc>
          <w:tcPr>
            <w:tcW w:type="dxa" w:w="4680"/>
            <w:shd w:fill="F2F5F8"/>
            <w:tcMar>
              <w:top w:w="120" w:type="dxa"/>
              <w:bottom w:w="120" w:type="dxa"/>
              <w:left w:w="180" w:type="dxa"/>
              <w:right w:w="180" w:type="dxa"/>
            </w:tcMar>
            <w:vAlign w:val="center"/>
          </w:tcPr>
          <w:p>
            <w:r>
              <w:t>• check_active_disruptions(): Queries normalized_disruptions.csv filtering by region.</w:t>
              <w:br/>
              <w:t>• get_shipment_status(): Scans normalized_orders.csv isolating delayed line items.</w:t>
              <w:br/>
              <w:t>• query_inventory_levels(): Pulls real-time inventory levels from inventory.csv.</w:t>
              <w:br/>
              <w:t>• scrub_system_logs(): Programmatic interceptor stripping localized text data prior to writing system records.</w:t>
            </w:r>
          </w:p>
        </w:tc>
      </w:tr>
      <w:tr>
        <w:tc>
          <w:tcPr>
            <w:tcW w:type="dxa" w:w="4680"/>
            <w:shd w:fill="FFFFFF"/>
            <w:tcMar>
              <w:top w:w="120" w:type="dxa"/>
              <w:bottom w:w="120" w:type="dxa"/>
              <w:left w:w="180" w:type="dxa"/>
              <w:right w:w="180" w:type="dxa"/>
            </w:tcMar>
            <w:vAlign w:val="center"/>
          </w:tcPr>
          <w:p>
            <w:r>
              <w:rPr>
                <w:b/>
              </w:rPr>
              <w:t>Failure handling</w:t>
            </w:r>
          </w:p>
        </w:tc>
        <w:tc>
          <w:tcPr>
            <w:tcW w:type="dxa" w:w="4680"/>
            <w:shd w:fill="FFFFFF"/>
            <w:tcMar>
              <w:top w:w="120" w:type="dxa"/>
              <w:bottom w:w="120" w:type="dxa"/>
              <w:left w:w="180" w:type="dxa"/>
              <w:right w:w="180" w:type="dxa"/>
            </w:tcMar>
            <w:vAlign w:val="center"/>
          </w:tcPr>
          <w:p>
            <w:r>
              <w:t>If a database lookup yields an empty result set or a critical tool execution throws an exception, the agent is strictly prohibited from guessing or fabricating placeholders. It must abort the analytical path and state: 'SYSTEM NOTICE: Necessary relational parameters for [SKU/Region] are currently unretrievable. Unable to guarantee structural accuracy. Escalating context to human system support.'</w:t>
            </w:r>
          </w:p>
        </w:tc>
      </w:tr>
    </w:tbl>
    <w:p>
      <w:pPr>
        <w:keepNext/>
        <w:spacing w:before="280" w:after="120"/>
      </w:pPr>
      <w:r>
        <w:rPr>
          <w:b/>
          <w:color w:val="1F4E78"/>
          <w:sz w:val="32"/>
        </w:rPr>
        <w:t>4. Autonomy, Governance, and Safety</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4680"/>
        <w:gridCol w:w="4680"/>
      </w:tblGrid>
      <w:tr>
        <w:tc>
          <w:tcPr>
            <w:tcW w:type="dxa" w:w="4680"/>
            <w:shd w:fill="1F4E78"/>
            <w:tcMar>
              <w:top w:w="120" w:type="dxa"/>
              <w:bottom w:w="120" w:type="dxa"/>
              <w:left w:w="180" w:type="dxa"/>
              <w:right w:w="180" w:type="dxa"/>
            </w:tcMar>
            <w:vAlign w:val="center"/>
          </w:tcPr>
          <w:p>
            <w:r>
              <w:rPr>
                <w:b/>
                <w:color w:val="FFFFFF"/>
              </w:rPr>
              <w:t>Field / Prompt</w:t>
            </w:r>
          </w:p>
        </w:tc>
        <w:tc>
          <w:tcPr>
            <w:tcW w:type="dxa" w:w="4680"/>
            <w:shd w:fill="1F4E78"/>
            <w:tcMar>
              <w:top w:w="120" w:type="dxa"/>
              <w:bottom w:w="120" w:type="dxa"/>
              <w:left w:w="180" w:type="dxa"/>
              <w:right w:w="180" w:type="dxa"/>
            </w:tcMar>
            <w:vAlign w:val="center"/>
          </w:tcPr>
          <w:p>
            <w:r>
              <w:rPr>
                <w:b/>
                <w:color w:val="FFFFFF"/>
              </w:rPr>
              <w:t>Your Notes &amp; Project Application</w:t>
            </w:r>
          </w:p>
        </w:tc>
      </w:tr>
      <w:tr>
        <w:tc>
          <w:tcPr>
            <w:tcW w:type="dxa" w:w="4680"/>
            <w:shd w:fill="F2F5F8"/>
            <w:tcMar>
              <w:top w:w="120" w:type="dxa"/>
              <w:bottom w:w="120" w:type="dxa"/>
              <w:left w:w="180" w:type="dxa"/>
              <w:right w:w="180" w:type="dxa"/>
            </w:tcMar>
            <w:vAlign w:val="center"/>
          </w:tcPr>
          <w:p>
            <w:r>
              <w:rPr>
                <w:b/>
              </w:rPr>
              <w:t>Actions allowed without approval</w:t>
            </w:r>
          </w:p>
        </w:tc>
        <w:tc>
          <w:tcPr>
            <w:tcW w:type="dxa" w:w="4680"/>
            <w:shd w:fill="F2F5F8"/>
            <w:tcMar>
              <w:top w:w="120" w:type="dxa"/>
              <w:bottom w:w="120" w:type="dxa"/>
              <w:left w:w="180" w:type="dxa"/>
              <w:right w:w="180" w:type="dxa"/>
            </w:tcMar>
            <w:vAlign w:val="center"/>
          </w:tcPr>
          <w:p>
            <w:r>
              <w:t>Parsing local configuration directories, cross-referencing CSV structural indexes, aggregating tracking parameters, compiling performance summaries, calculating margin deviations, and outputting operational report briefs directly to the requesting operator's interface.</w:t>
            </w:r>
          </w:p>
        </w:tc>
      </w:tr>
      <w:tr>
        <w:tc>
          <w:tcPr>
            <w:tcW w:type="dxa" w:w="4680"/>
            <w:shd w:fill="FFFFFF"/>
            <w:tcMar>
              <w:top w:w="120" w:type="dxa"/>
              <w:bottom w:w="120" w:type="dxa"/>
              <w:left w:w="180" w:type="dxa"/>
              <w:right w:w="180" w:type="dxa"/>
            </w:tcMar>
            <w:vAlign w:val="center"/>
          </w:tcPr>
          <w:p>
            <w:r>
              <w:rPr>
                <w:b/>
              </w:rPr>
              <w:t>Actions requiring approval</w:t>
            </w:r>
          </w:p>
        </w:tc>
        <w:tc>
          <w:tcPr>
            <w:tcW w:type="dxa" w:w="4680"/>
            <w:shd w:fill="FFFFFF"/>
            <w:tcMar>
              <w:top w:w="120" w:type="dxa"/>
              <w:bottom w:w="120" w:type="dxa"/>
              <w:left w:w="180" w:type="dxa"/>
              <w:right w:w="180" w:type="dxa"/>
            </w:tcMar>
            <w:vAlign w:val="center"/>
          </w:tcPr>
          <w:p>
            <w:r>
              <w:t>Direct updates to inbound delivery milestones, modifying stock allocations, creating emergency purchasing contracts, or executing vendor alerts. All outbound transmissions or adjustments require full review and explicit data entry by a licensed human operator within the enterprise ERP environment.</w:t>
            </w:r>
          </w:p>
        </w:tc>
      </w:tr>
      <w:tr>
        <w:tc>
          <w:tcPr>
            <w:tcW w:type="dxa" w:w="4680"/>
            <w:shd w:fill="F2F5F8"/>
            <w:tcMar>
              <w:top w:w="120" w:type="dxa"/>
              <w:bottom w:w="120" w:type="dxa"/>
              <w:left w:w="180" w:type="dxa"/>
              <w:right w:w="180" w:type="dxa"/>
            </w:tcMar>
            <w:vAlign w:val="center"/>
          </w:tcPr>
          <w:p>
            <w:r>
              <w:rPr>
                <w:b/>
              </w:rPr>
              <w:t>Logging and auditability</w:t>
            </w:r>
          </w:p>
        </w:tc>
        <w:tc>
          <w:tcPr>
            <w:tcW w:type="dxa" w:w="4680"/>
            <w:shd w:fill="F2F5F8"/>
            <w:tcMar>
              <w:top w:w="120" w:type="dxa"/>
              <w:bottom w:w="120" w:type="dxa"/>
              <w:left w:w="180" w:type="dxa"/>
              <w:right w:w="180" w:type="dxa"/>
            </w:tcMar>
            <w:vAlign w:val="center"/>
          </w:tcPr>
          <w:p>
            <w:r>
              <w:t>Every operator prompt, model inference loop, tool argument, execution confidence assessment, and generated proposal block is saved. Prior to disk persistence, a regex-driven regex string scanning utility automatically replaces corporate email handles, supplier telephone channels, and localized contract details with a standardized '[MASKED_PII]' marker.</w:t>
            </w:r>
          </w:p>
        </w:tc>
      </w:tr>
      <w:tr>
        <w:tc>
          <w:tcPr>
            <w:tcW w:type="dxa" w:w="4680"/>
            <w:shd w:fill="FFFFFF"/>
            <w:tcMar>
              <w:top w:w="120" w:type="dxa"/>
              <w:bottom w:w="120" w:type="dxa"/>
              <w:left w:w="180" w:type="dxa"/>
              <w:right w:w="180" w:type="dxa"/>
            </w:tcMar>
            <w:vAlign w:val="center"/>
          </w:tcPr>
          <w:p>
            <w:r>
              <w:rPr>
                <w:b/>
              </w:rPr>
              <w:t>Monitoring</w:t>
            </w:r>
          </w:p>
        </w:tc>
        <w:tc>
          <w:tcPr>
            <w:tcW w:type="dxa" w:w="4680"/>
            <w:shd w:fill="FFFFFF"/>
            <w:tcMar>
              <w:top w:w="120" w:type="dxa"/>
              <w:bottom w:w="120" w:type="dxa"/>
              <w:left w:w="180" w:type="dxa"/>
              <w:right w:w="180" w:type="dxa"/>
            </w:tcMar>
            <w:vAlign w:val="center"/>
          </w:tcPr>
          <w:p>
            <w:r>
              <w:t>Operational dashboards track: 1. Tool execution failure and exception rates.</w:t>
              <w:br/>
              <w:t>2. Autonomous escalation frequency (how often the agent defaults to a safety refusal state due to inadequate data confidence).</w:t>
              <w:br/>
              <w:t>3. Human override metrics (measuring structural drift between agent-drafted reports and final human-edited decisions).</w:t>
            </w:r>
          </w:p>
        </w:tc>
      </w:tr>
      <w:tr>
        <w:tc>
          <w:tcPr>
            <w:tcW w:type="dxa" w:w="4680"/>
            <w:shd w:fill="F2F5F8"/>
            <w:tcMar>
              <w:top w:w="120" w:type="dxa"/>
              <w:bottom w:w="120" w:type="dxa"/>
              <w:left w:w="180" w:type="dxa"/>
              <w:right w:w="180" w:type="dxa"/>
            </w:tcMar>
            <w:vAlign w:val="center"/>
          </w:tcPr>
          <w:p>
            <w:r>
              <w:rPr>
                <w:b/>
              </w:rPr>
              <w:t>User communication</w:t>
            </w:r>
          </w:p>
        </w:tc>
        <w:tc>
          <w:tcPr>
            <w:tcW w:type="dxa" w:w="4680"/>
            <w:shd w:fill="F2F5F8"/>
            <w:tcMar>
              <w:top w:w="120" w:type="dxa"/>
              <w:bottom w:w="120" w:type="dxa"/>
              <w:left w:w="180" w:type="dxa"/>
              <w:right w:w="180" w:type="dxa"/>
            </w:tcMar>
            <w:vAlign w:val="center"/>
          </w:tcPr>
          <w:p>
            <w:r>
              <w:t>The agent utilizes a structured, auditable dialogue layout. It explicitly lists the source documents referenced (e.g., 'Referencing file inventory.csv row 12...') and highlights uncertainty via descriptive bounds (e.g., 'Due to active port stoppages, delivery variance extends from 5 to 15 business days; an exact ETA cannot be confidently derived.').</w:t>
            </w:r>
          </w:p>
        </w:tc>
      </w:tr>
    </w:tbl>
    <w:p>
      <w:pPr>
        <w:keepNext/>
        <w:spacing w:before="280" w:after="120"/>
      </w:pPr>
      <w:r>
        <w:rPr>
          <w:b/>
          <w:color w:val="1F4E78"/>
          <w:sz w:val="32"/>
        </w:rPr>
        <w:t>5. ROI and Success Measurement</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4680"/>
        <w:gridCol w:w="4680"/>
      </w:tblGrid>
      <w:tr>
        <w:tc>
          <w:tcPr>
            <w:tcW w:type="dxa" w:w="4680"/>
            <w:shd w:fill="1F4E78"/>
            <w:tcMar>
              <w:top w:w="120" w:type="dxa"/>
              <w:bottom w:w="120" w:type="dxa"/>
              <w:left w:w="180" w:type="dxa"/>
              <w:right w:w="180" w:type="dxa"/>
            </w:tcMar>
            <w:vAlign w:val="center"/>
          </w:tcPr>
          <w:p>
            <w:r>
              <w:rPr>
                <w:b/>
                <w:color w:val="FFFFFF"/>
              </w:rPr>
              <w:t>Field / Prompt</w:t>
            </w:r>
          </w:p>
        </w:tc>
        <w:tc>
          <w:tcPr>
            <w:tcW w:type="dxa" w:w="4680"/>
            <w:shd w:fill="1F4E78"/>
            <w:tcMar>
              <w:top w:w="120" w:type="dxa"/>
              <w:bottom w:w="120" w:type="dxa"/>
              <w:left w:w="180" w:type="dxa"/>
              <w:right w:w="180" w:type="dxa"/>
            </w:tcMar>
            <w:vAlign w:val="center"/>
          </w:tcPr>
          <w:p>
            <w:r>
              <w:rPr>
                <w:b/>
                <w:color w:val="FFFFFF"/>
              </w:rPr>
              <w:t>Your Notes &amp; Project Application</w:t>
            </w:r>
          </w:p>
        </w:tc>
      </w:tr>
      <w:tr>
        <w:tc>
          <w:tcPr>
            <w:tcW w:type="dxa" w:w="4680"/>
            <w:shd w:fill="F2F5F8"/>
            <w:tcMar>
              <w:top w:w="120" w:type="dxa"/>
              <w:bottom w:w="120" w:type="dxa"/>
              <w:left w:w="180" w:type="dxa"/>
              <w:right w:w="180" w:type="dxa"/>
            </w:tcMar>
            <w:vAlign w:val="center"/>
          </w:tcPr>
          <w:p>
            <w:r>
              <w:rPr>
                <w:b/>
              </w:rPr>
              <w:t>Baseline (before the agent)</w:t>
            </w:r>
          </w:p>
        </w:tc>
        <w:tc>
          <w:tcPr>
            <w:tcW w:type="dxa" w:w="4680"/>
            <w:shd w:fill="F2F5F8"/>
            <w:tcMar>
              <w:top w:w="120" w:type="dxa"/>
              <w:bottom w:w="120" w:type="dxa"/>
              <w:left w:w="180" w:type="dxa"/>
              <w:right w:w="180" w:type="dxa"/>
            </w:tcMar>
            <w:vAlign w:val="center"/>
          </w:tcPr>
          <w:p>
            <w:r>
              <w:t>Average corporate time-to-identify product exposure following a major global transit delay event stands at 4.5 hours due to manual workbook manipulation. Human mathematical or look-up errors occur in approximately 12% of emergency analysis reporting. Average stockout duration during macro shipping jams spans 9 standard operational business days.</w:t>
            </w:r>
          </w:p>
        </w:tc>
      </w:tr>
      <w:tr>
        <w:tc>
          <w:tcPr>
            <w:tcW w:type="dxa" w:w="4680"/>
            <w:shd w:fill="FFFFFF"/>
            <w:tcMar>
              <w:top w:w="120" w:type="dxa"/>
              <w:bottom w:w="120" w:type="dxa"/>
              <w:left w:w="180" w:type="dxa"/>
              <w:right w:w="180" w:type="dxa"/>
            </w:tcMar>
            <w:vAlign w:val="center"/>
          </w:tcPr>
          <w:p>
            <w:r>
              <w:rPr>
                <w:b/>
              </w:rPr>
              <w:t>Expected benefits</w:t>
            </w:r>
          </w:p>
        </w:tc>
        <w:tc>
          <w:tcPr>
            <w:tcW w:type="dxa" w:w="4680"/>
            <w:shd w:fill="FFFFFF"/>
            <w:tcMar>
              <w:top w:w="120" w:type="dxa"/>
              <w:bottom w:w="120" w:type="dxa"/>
              <w:left w:w="180" w:type="dxa"/>
              <w:right w:w="180" w:type="dxa"/>
            </w:tcMar>
            <w:vAlign w:val="center"/>
          </w:tcPr>
          <w:p>
            <w:r>
              <w:t>Identification cycles plummet from 4.5 hours down to less than 30 seconds. Data synthesis inaccuracies are effectively reduced to 0% due to deterministic code parsing tools. Early-warning alerts allow procurement teams to trigger secondary sourcing buffers rapidly, cutting stockout durations by an estimated 3 to 4 business days.</w:t>
            </w:r>
          </w:p>
        </w:tc>
      </w:tr>
      <w:tr>
        <w:tc>
          <w:tcPr>
            <w:tcW w:type="dxa" w:w="4680"/>
            <w:shd w:fill="F2F5F8"/>
            <w:tcMar>
              <w:top w:w="120" w:type="dxa"/>
              <w:bottom w:w="120" w:type="dxa"/>
              <w:left w:w="180" w:type="dxa"/>
              <w:right w:w="180" w:type="dxa"/>
            </w:tcMar>
            <w:vAlign w:val="center"/>
          </w:tcPr>
          <w:p>
            <w:r>
              <w:rPr>
                <w:b/>
              </w:rPr>
              <w:t>Expected costs</w:t>
            </w:r>
          </w:p>
        </w:tc>
        <w:tc>
          <w:tcPr>
            <w:tcW w:type="dxa" w:w="4680"/>
            <w:shd w:fill="F2F5F8"/>
            <w:tcMar>
              <w:top w:w="120" w:type="dxa"/>
              <w:bottom w:w="120" w:type="dxa"/>
              <w:left w:w="180" w:type="dxa"/>
              <w:right w:w="180" w:type="dxa"/>
            </w:tcMar>
            <w:vAlign w:val="center"/>
          </w:tcPr>
          <w:p>
            <w:r>
              <w:t>Approximately 1 person-month of specialized engineering construction, tuning, and prompt architecture design. Minimal token transaction pricing from model inference tasks. Change management overhead including a 2-hour localized operator onboarding and system feedback review session.</w:t>
            </w:r>
          </w:p>
        </w:tc>
      </w:tr>
      <w:tr>
        <w:tc>
          <w:tcPr>
            <w:tcW w:type="dxa" w:w="4680"/>
            <w:shd w:fill="FFFFFF"/>
            <w:tcMar>
              <w:top w:w="120" w:type="dxa"/>
              <w:bottom w:w="120" w:type="dxa"/>
              <w:left w:w="180" w:type="dxa"/>
              <w:right w:w="180" w:type="dxa"/>
            </w:tcMar>
            <w:vAlign w:val="center"/>
          </w:tcPr>
          <w:p>
            <w:r>
              <w:rPr>
                <w:b/>
              </w:rPr>
              <w:t>How will you measure ROI</w:t>
            </w:r>
          </w:p>
        </w:tc>
        <w:tc>
          <w:tcPr>
            <w:tcW w:type="dxa" w:w="4680"/>
            <w:shd w:fill="FFFFFF"/>
            <w:tcMar>
              <w:top w:w="120" w:type="dxa"/>
              <w:bottom w:w="120" w:type="dxa"/>
              <w:left w:w="180" w:type="dxa"/>
              <w:right w:w="180" w:type="dxa"/>
            </w:tcMar>
            <w:vAlign w:val="center"/>
          </w:tcPr>
          <w:p>
            <w:r>
              <w:t>ROI will be evaluated by comparing the aggregate annual cost of stockout-driven revenue loss and rush shipping premiums against the baseline, calculated monthly by the Logistics Analytics Lead over an initial 90-day post-launch window.</w:t>
            </w:r>
          </w:p>
        </w:tc>
      </w:tr>
      <w:tr>
        <w:tc>
          <w:tcPr>
            <w:tcW w:type="dxa" w:w="4680"/>
            <w:shd w:fill="F2F5F8"/>
            <w:tcMar>
              <w:top w:w="120" w:type="dxa"/>
              <w:bottom w:w="120" w:type="dxa"/>
              <w:left w:w="180" w:type="dxa"/>
              <w:right w:w="180" w:type="dxa"/>
            </w:tcMar>
            <w:vAlign w:val="center"/>
          </w:tcPr>
          <w:p>
            <w:r>
              <w:rPr>
                <w:b/>
              </w:rPr>
              <w:t>Adoption plan</w:t>
            </w:r>
          </w:p>
        </w:tc>
        <w:tc>
          <w:tcPr>
            <w:tcW w:type="dxa" w:w="4680"/>
            <w:shd w:fill="F2F5F8"/>
            <w:tcMar>
              <w:top w:w="120" w:type="dxa"/>
              <w:bottom w:w="120" w:type="dxa"/>
              <w:left w:w="180" w:type="dxa"/>
              <w:right w:w="180" w:type="dxa"/>
            </w:tcMar>
            <w:vAlign w:val="center"/>
          </w:tcPr>
          <w:p>
            <w:r>
              <w:t>• Week 1: Shadow Operations (the copilot runs silently alongside the traditional manual tracking cycle to prove output consistency).</w:t>
              <w:br/>
              <w:t>• Week 2: Guided Integration (analysts utilize the agent to extract quick answers, highlighting tool speed during morning standups).</w:t>
              <w:br/>
              <w:t>• Week 3: Iterative Adaptation (establishing a direct slack feedback channel to collect feature adjustments and continuously refine prompt heuristics).</w:t>
            </w:r>
          </w:p>
        </w:tc>
      </w:tr>
    </w:tbl>
    <w:p>
      <w:pPr>
        <w:keepNext/>
        <w:spacing w:before="280" w:after="120"/>
      </w:pPr>
      <w:r>
        <w:rPr>
          <w:b/>
          <w:color w:val="1F4E78"/>
          <w:sz w:val="32"/>
        </w:rPr>
        <w:t>6. Risks and Mitigations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F4E78"/>
            <w:tcMar>
              <w:top w:w="120" w:type="dxa"/>
              <w:bottom w:w="120" w:type="dxa"/>
              <w:left w:w="180" w:type="dxa"/>
              <w:right w:w="180" w:type="dxa"/>
            </w:tcMar>
            <w:vAlign w:val="center"/>
          </w:tcPr>
          <w:p>
            <w:r>
              <w:rPr>
                <w:b/>
                <w:color w:val="FFFFFF"/>
              </w:rPr>
              <w:t>Risk</w:t>
            </w:r>
          </w:p>
        </w:tc>
        <w:tc>
          <w:tcPr>
            <w:tcW w:type="dxa" w:w="3120"/>
            <w:shd w:fill="1F4E78"/>
            <w:tcMar>
              <w:top w:w="120" w:type="dxa"/>
              <w:bottom w:w="120" w:type="dxa"/>
              <w:left w:w="180" w:type="dxa"/>
              <w:right w:w="180" w:type="dxa"/>
            </w:tcMar>
            <w:vAlign w:val="center"/>
          </w:tcPr>
          <w:p>
            <w:r>
              <w:rPr>
                <w:b/>
                <w:color w:val="FFFFFF"/>
              </w:rPr>
              <w:t>Why it matters</w:t>
            </w:r>
          </w:p>
        </w:tc>
        <w:tc>
          <w:tcPr>
            <w:tcW w:type="dxa" w:w="3120"/>
            <w:shd w:fill="1F4E78"/>
            <w:tcMar>
              <w:top w:w="120" w:type="dxa"/>
              <w:bottom w:w="120" w:type="dxa"/>
              <w:left w:w="180" w:type="dxa"/>
              <w:right w:w="180" w:type="dxa"/>
            </w:tcMar>
            <w:vAlign w:val="center"/>
          </w:tcPr>
          <w:p>
            <w:r>
              <w:rPr>
                <w:b/>
                <w:color w:val="FFFFFF"/>
              </w:rPr>
              <w:t>Mitigation / Safeguard</w:t>
            </w:r>
          </w:p>
        </w:tc>
      </w:tr>
      <w:tr>
        <w:tc>
          <w:tcPr>
            <w:tcW w:type="dxa" w:w="3120"/>
            <w:shd w:fill="F2F5F8"/>
            <w:tcMar>
              <w:top w:w="120" w:type="dxa"/>
              <w:bottom w:w="120" w:type="dxa"/>
              <w:left w:w="180" w:type="dxa"/>
              <w:right w:w="180" w:type="dxa"/>
            </w:tcMar>
            <w:vAlign w:val="center"/>
          </w:tcPr>
          <w:p>
            <w:r>
              <w:rPr>
                <w:b/>
              </w:rPr>
              <w:t>Date Hallucination &amp; Fabrication</w:t>
            </w:r>
          </w:p>
        </w:tc>
        <w:tc>
          <w:tcPr>
            <w:tcW w:type="dxa" w:w="3120"/>
            <w:shd w:fill="F2F5F8"/>
            <w:tcMar>
              <w:top w:w="120" w:type="dxa"/>
              <w:bottom w:w="120" w:type="dxa"/>
              <w:left w:w="180" w:type="dxa"/>
              <w:right w:w="180" w:type="dxa"/>
            </w:tcMar>
            <w:vAlign w:val="center"/>
          </w:tcPr>
          <w:p>
            <w:r>
              <w:t>The agent invents an arbitrary delivery date during a prolonged marine port closure.</w:t>
            </w:r>
          </w:p>
        </w:tc>
        <w:tc>
          <w:tcPr>
            <w:tcW w:type="dxa" w:w="3120"/>
            <w:shd w:fill="F2F5F8"/>
            <w:tcMar>
              <w:top w:w="120" w:type="dxa"/>
              <w:bottom w:w="120" w:type="dxa"/>
              <w:left w:w="180" w:type="dxa"/>
              <w:right w:w="180" w:type="dxa"/>
            </w:tcMar>
            <w:vAlign w:val="center"/>
          </w:tcPr>
          <w:p>
            <w:r>
              <w:t>Hardcode agent temperature parameter to 0.0. Inject strict negative constraints within the primary system prompt instructing the model to declare an extended uncertainty window rather than confirming specific milestones.</w:t>
            </w:r>
          </w:p>
        </w:tc>
      </w:tr>
      <w:tr>
        <w:tc>
          <w:tcPr>
            <w:tcW w:type="dxa" w:w="3120"/>
            <w:shd w:fill="FFFFFF"/>
            <w:tcMar>
              <w:top w:w="120" w:type="dxa"/>
              <w:bottom w:w="120" w:type="dxa"/>
              <w:left w:w="180" w:type="dxa"/>
              <w:right w:w="180" w:type="dxa"/>
            </w:tcMar>
            <w:vAlign w:val="center"/>
          </w:tcPr>
          <w:p>
            <w:r>
              <w:rPr>
                <w:b/>
              </w:rPr>
              <w:t>Sensitive Pricing &amp; PII Leakage</w:t>
            </w:r>
          </w:p>
        </w:tc>
        <w:tc>
          <w:tcPr>
            <w:tcW w:type="dxa" w:w="3120"/>
            <w:shd w:fill="FFFFFF"/>
            <w:tcMar>
              <w:top w:w="120" w:type="dxa"/>
              <w:bottom w:w="120" w:type="dxa"/>
              <w:left w:w="180" w:type="dxa"/>
              <w:right w:w="180" w:type="dxa"/>
            </w:tcMar>
            <w:vAlign w:val="center"/>
          </w:tcPr>
          <w:p>
            <w:r>
              <w:t>Plaintext storage of partner pricing terms or personnel emails inside internal debugging logs breaches regulatory governance.</w:t>
            </w:r>
          </w:p>
        </w:tc>
        <w:tc>
          <w:tcPr>
            <w:tcW w:type="dxa" w:w="3120"/>
            <w:shd w:fill="FFFFFF"/>
            <w:tcMar>
              <w:top w:w="120" w:type="dxa"/>
              <w:bottom w:w="120" w:type="dxa"/>
              <w:left w:w="180" w:type="dxa"/>
              <w:right w:w="180" w:type="dxa"/>
            </w:tcMar>
            <w:vAlign w:val="center"/>
          </w:tcPr>
          <w:p>
            <w:r>
              <w:t>Deploy a custom pre-logging string processing script that intercepts data payloads and scrubs all standard alphanumeric email patterns and financial identifiers before disk writes.</w:t>
            </w:r>
          </w:p>
        </w:tc>
      </w:tr>
      <w:tr>
        <w:tc>
          <w:tcPr>
            <w:tcW w:type="dxa" w:w="3120"/>
            <w:shd w:fill="F2F5F8"/>
            <w:tcMar>
              <w:top w:w="120" w:type="dxa"/>
              <w:bottom w:w="120" w:type="dxa"/>
              <w:left w:w="180" w:type="dxa"/>
              <w:right w:w="180" w:type="dxa"/>
            </w:tcMar>
            <w:vAlign w:val="center"/>
          </w:tcPr>
          <w:p>
            <w:r>
              <w:rPr>
                <w:b/>
              </w:rPr>
              <w:t>Operator Automation Bias</w:t>
            </w:r>
          </w:p>
        </w:tc>
        <w:tc>
          <w:tcPr>
            <w:tcW w:type="dxa" w:w="3120"/>
            <w:shd w:fill="F2F5F8"/>
            <w:tcMar>
              <w:top w:w="120" w:type="dxa"/>
              <w:bottom w:w="120" w:type="dxa"/>
              <w:left w:w="180" w:type="dxa"/>
              <w:right w:w="180" w:type="dxa"/>
            </w:tcMar>
            <w:vAlign w:val="center"/>
          </w:tcPr>
          <w:p>
            <w:r>
              <w:t>Human analysts blindly copy agent summaries and recommendations without reviewing foundational dataset rows.</w:t>
            </w:r>
          </w:p>
        </w:tc>
        <w:tc>
          <w:tcPr>
            <w:tcW w:type="dxa" w:w="3120"/>
            <w:shd w:fill="F2F5F8"/>
            <w:tcMar>
              <w:top w:w="120" w:type="dxa"/>
              <w:bottom w:w="120" w:type="dxa"/>
              <w:left w:w="180" w:type="dxa"/>
              <w:right w:w="180" w:type="dxa"/>
            </w:tcMar>
            <w:vAlign w:val="center"/>
          </w:tcPr>
          <w:p>
            <w:r>
              <w:t>The operator UI layout requires the analyst to scroll past the underlying source telemetry data references and check an explicit validation box before unlocking the copy-text feature.</w:t>
            </w:r>
          </w:p>
        </w:tc>
      </w:tr>
      <w:tr>
        <w:tc>
          <w:tcPr>
            <w:tcW w:type="dxa" w:w="3120"/>
            <w:shd w:fill="FFFFFF"/>
            <w:tcMar>
              <w:top w:w="120" w:type="dxa"/>
              <w:bottom w:w="120" w:type="dxa"/>
              <w:left w:w="180" w:type="dxa"/>
              <w:right w:w="180" w:type="dxa"/>
            </w:tcMar>
            <w:vAlign w:val="center"/>
          </w:tcPr>
          <w:p>
            <w:r>
              <w:rPr>
                <w:b/>
              </w:rPr>
              <w:t>Database &amp; Tool Timeout Failures</w:t>
            </w:r>
          </w:p>
        </w:tc>
        <w:tc>
          <w:tcPr>
            <w:tcW w:type="dxa" w:w="3120"/>
            <w:shd w:fill="FFFFFF"/>
            <w:tcMar>
              <w:top w:w="120" w:type="dxa"/>
              <w:bottom w:w="120" w:type="dxa"/>
              <w:left w:w="180" w:type="dxa"/>
              <w:right w:w="180" w:type="dxa"/>
            </w:tcMar>
            <w:vAlign w:val="center"/>
          </w:tcPr>
          <w:p>
            <w:r>
              <w:t>Underlying CSV architecture changes or files become unreadable, triggering an unhandled system crash.</w:t>
            </w:r>
          </w:p>
        </w:tc>
        <w:tc>
          <w:tcPr>
            <w:tcW w:type="dxa" w:w="3120"/>
            <w:shd w:fill="FFFFFF"/>
            <w:tcMar>
              <w:top w:w="120" w:type="dxa"/>
              <w:bottom w:w="120" w:type="dxa"/>
              <w:left w:w="180" w:type="dxa"/>
              <w:right w:w="180" w:type="dxa"/>
            </w:tcMar>
            <w:vAlign w:val="center"/>
          </w:tcPr>
          <w:p>
            <w:r>
              <w:t>Wrap all core analytical dataframe parsing routines inside robust Python try-except exception handlers that gracefully yield structured fallback warnings directly to the agent runtime.</w:t>
            </w:r>
          </w:p>
        </w:tc>
      </w:tr>
    </w:tbl>
    <w:p>
      <w:pPr>
        <w:keepNext/>
        <w:spacing w:before="280" w:after="120"/>
      </w:pPr>
      <w:r>
        <w:rPr>
          <w:b/>
          <w:color w:val="1F4E78"/>
          <w:sz w:val="32"/>
        </w:rPr>
        <w:t>7. Pilot Plan and Next Steps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4680"/>
        <w:gridCol w:w="4680"/>
      </w:tblGrid>
      <w:tr>
        <w:tc>
          <w:tcPr>
            <w:tcW w:type="dxa" w:w="4680"/>
            <w:shd w:fill="1F4E78"/>
            <w:tcMar>
              <w:top w:w="120" w:type="dxa"/>
              <w:bottom w:w="120" w:type="dxa"/>
              <w:left w:w="180" w:type="dxa"/>
              <w:right w:w="180" w:type="dxa"/>
            </w:tcMar>
            <w:vAlign w:val="center"/>
          </w:tcPr>
          <w:p>
            <w:r>
              <w:rPr>
                <w:b/>
                <w:color w:val="FFFFFF"/>
              </w:rPr>
              <w:t>Field / Prompt</w:t>
            </w:r>
          </w:p>
        </w:tc>
        <w:tc>
          <w:tcPr>
            <w:tcW w:type="dxa" w:w="4680"/>
            <w:shd w:fill="1F4E78"/>
            <w:tcMar>
              <w:top w:w="120" w:type="dxa"/>
              <w:bottom w:w="120" w:type="dxa"/>
              <w:left w:w="180" w:type="dxa"/>
              <w:right w:w="180" w:type="dxa"/>
            </w:tcMar>
            <w:vAlign w:val="center"/>
          </w:tcPr>
          <w:p>
            <w:r>
              <w:rPr>
                <w:b/>
                <w:color w:val="FFFFFF"/>
              </w:rPr>
              <w:t>Your Notes &amp; Project Application</w:t>
            </w:r>
          </w:p>
        </w:tc>
      </w:tr>
      <w:tr>
        <w:tc>
          <w:tcPr>
            <w:tcW w:type="dxa" w:w="4680"/>
            <w:shd w:fill="F2F5F8"/>
            <w:tcMar>
              <w:top w:w="120" w:type="dxa"/>
              <w:bottom w:w="120" w:type="dxa"/>
              <w:left w:w="180" w:type="dxa"/>
              <w:right w:w="180" w:type="dxa"/>
            </w:tcMar>
            <w:vAlign w:val="center"/>
          </w:tcPr>
          <w:p>
            <w:r>
              <w:rPr>
                <w:b/>
              </w:rPr>
              <w:t>Pilot scope</w:t>
            </w:r>
          </w:p>
        </w:tc>
        <w:tc>
          <w:tcPr>
            <w:tcW w:type="dxa" w:w="4680"/>
            <w:shd w:fill="F2F5F8"/>
            <w:tcMar>
              <w:top w:w="120" w:type="dxa"/>
              <w:bottom w:w="120" w:type="dxa"/>
              <w:left w:w="180" w:type="dxa"/>
              <w:right w:w="180" w:type="dxa"/>
            </w:tcMar>
            <w:vAlign w:val="center"/>
          </w:tcPr>
          <w:p>
            <w:r>
              <w:t>Deployed within the North American regional apparel fulfillment segment, tracking 5 high-velocity fashion apparel SKUs across three primary regional vendor lines for a dedicated 14-day tracking iteration.</w:t>
            </w:r>
          </w:p>
        </w:tc>
      </w:tr>
      <w:tr>
        <w:tc>
          <w:tcPr>
            <w:tcW w:type="dxa" w:w="4680"/>
            <w:shd w:fill="FFFFFF"/>
            <w:tcMar>
              <w:top w:w="120" w:type="dxa"/>
              <w:bottom w:w="120" w:type="dxa"/>
              <w:left w:w="180" w:type="dxa"/>
              <w:right w:w="180" w:type="dxa"/>
            </w:tcMar>
            <w:vAlign w:val="center"/>
          </w:tcPr>
          <w:p>
            <w:r>
              <w:rPr>
                <w:b/>
              </w:rPr>
              <w:t>Evaluation plan</w:t>
            </w:r>
          </w:p>
        </w:tc>
        <w:tc>
          <w:tcPr>
            <w:tcW w:type="dxa" w:w="4680"/>
            <w:shd w:fill="FFFFFF"/>
            <w:tcMar>
              <w:top w:w="120" w:type="dxa"/>
              <w:bottom w:w="120" w:type="dxa"/>
              <w:left w:w="180" w:type="dxa"/>
              <w:right w:w="180" w:type="dxa"/>
            </w:tcMar>
            <w:vAlign w:val="center"/>
          </w:tcPr>
          <w:p>
            <w:r>
              <w:t>At the conclusion of the 2-week test phase, performance will be benchmarked across: 1. Risk tracking accuracy (omission rate of actual delays).</w:t>
              <w:br/>
              <w:t>2. Tool utilization metrics (daily session counts per analyst).</w:t>
              <w:br/>
              <w:t>3. Qualitative feedback scores harvested from a standardized utility and trust questionnaire.</w:t>
            </w:r>
          </w:p>
        </w:tc>
      </w:tr>
      <w:tr>
        <w:tc>
          <w:tcPr>
            <w:tcW w:type="dxa" w:w="4680"/>
            <w:shd w:fill="F2F5F8"/>
            <w:tcMar>
              <w:top w:w="120" w:type="dxa"/>
              <w:bottom w:w="120" w:type="dxa"/>
              <w:left w:w="180" w:type="dxa"/>
              <w:right w:w="180" w:type="dxa"/>
            </w:tcMar>
            <w:vAlign w:val="center"/>
          </w:tcPr>
          <w:p>
            <w:r>
              <w:rPr>
                <w:b/>
              </w:rPr>
              <w:t>Owner(s)</w:t>
            </w:r>
          </w:p>
        </w:tc>
        <w:tc>
          <w:tcPr>
            <w:tcW w:type="dxa" w:w="4680"/>
            <w:shd w:fill="F2F5F8"/>
            <w:tcMar>
              <w:top w:w="120" w:type="dxa"/>
              <w:bottom w:w="120" w:type="dxa"/>
              <w:left w:w="180" w:type="dxa"/>
              <w:right w:w="180" w:type="dxa"/>
            </w:tcMar>
            <w:vAlign w:val="center"/>
          </w:tcPr>
          <w:p>
            <w:r>
              <w:t>Lead Systems Logistics Engineer (Core Technical Infrastructure Owner) and Director of Global Supply Chain Operations (Primary Business Process Owner).</w:t>
            </w:r>
          </w:p>
        </w:tc>
      </w:tr>
      <w:tr>
        <w:tc>
          <w:tcPr>
            <w:tcW w:type="dxa" w:w="4680"/>
            <w:shd w:fill="FFFFFF"/>
            <w:tcMar>
              <w:top w:w="120" w:type="dxa"/>
              <w:bottom w:w="120" w:type="dxa"/>
              <w:left w:w="180" w:type="dxa"/>
              <w:right w:w="180" w:type="dxa"/>
            </w:tcMar>
            <w:vAlign w:val="center"/>
          </w:tcPr>
          <w:p>
            <w:r>
              <w:rPr>
                <w:b/>
              </w:rPr>
              <w:t>Future enhancements</w:t>
            </w:r>
          </w:p>
        </w:tc>
        <w:tc>
          <w:tcPr>
            <w:tcW w:type="dxa" w:w="4680"/>
            <w:shd w:fill="FFFFFF"/>
            <w:tcMar>
              <w:top w:w="120" w:type="dxa"/>
              <w:bottom w:w="120" w:type="dxa"/>
              <w:left w:w="180" w:type="dxa"/>
              <w:right w:w="180" w:type="dxa"/>
            </w:tcMar>
            <w:vAlign w:val="center"/>
          </w:tcPr>
          <w:p>
            <w:r>
              <w:t>Transition from mock static flat files to a direct read-only replica of the live enterprise ERP database environment, integrate multi-agent loops to cross-analyze real-time oceanic weather feeds, and automate standard RFQ contract draft compilation for fallback shipping routes.</w:t>
            </w:r>
          </w:p>
        </w:tc>
      </w:tr>
    </w:tbl>
    <w:p>
      <w:pPr>
        <w:keepNext/>
        <w:spacing w:before="280" w:after="120"/>
      </w:pPr>
      <w:r>
        <w:rPr>
          <w:b/>
          <w:color w:val="1F4E78"/>
          <w:sz w:val="32"/>
        </w:rPr>
        <w:t>8. Assumptions and References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4680"/>
        <w:gridCol w:w="4680"/>
      </w:tblGrid>
      <w:tr>
        <w:tc>
          <w:tcPr>
            <w:tcW w:type="dxa" w:w="4680"/>
            <w:shd w:fill="1F4E78"/>
            <w:tcMar>
              <w:top w:w="120" w:type="dxa"/>
              <w:bottom w:w="120" w:type="dxa"/>
              <w:left w:w="180" w:type="dxa"/>
              <w:right w:w="180" w:type="dxa"/>
            </w:tcMar>
            <w:vAlign w:val="center"/>
          </w:tcPr>
          <w:p>
            <w:r>
              <w:rPr>
                <w:b/>
                <w:color w:val="FFFFFF"/>
              </w:rPr>
              <w:t>Field / Prompt</w:t>
            </w:r>
          </w:p>
        </w:tc>
        <w:tc>
          <w:tcPr>
            <w:tcW w:type="dxa" w:w="4680"/>
            <w:shd w:fill="1F4E78"/>
            <w:tcMar>
              <w:top w:w="120" w:type="dxa"/>
              <w:bottom w:w="120" w:type="dxa"/>
              <w:left w:w="180" w:type="dxa"/>
              <w:right w:w="180" w:type="dxa"/>
            </w:tcMar>
            <w:vAlign w:val="center"/>
          </w:tcPr>
          <w:p>
            <w:r>
              <w:rPr>
                <w:b/>
                <w:color w:val="FFFFFF"/>
              </w:rPr>
              <w:t>Your Notes &amp; Project Application</w:t>
            </w:r>
          </w:p>
        </w:tc>
      </w:tr>
      <w:tr>
        <w:tc>
          <w:tcPr>
            <w:tcW w:type="dxa" w:w="4680"/>
            <w:shd w:fill="F2F5F8"/>
            <w:tcMar>
              <w:top w:w="120" w:type="dxa"/>
              <w:bottom w:w="120" w:type="dxa"/>
              <w:left w:w="180" w:type="dxa"/>
              <w:right w:w="180" w:type="dxa"/>
            </w:tcMar>
            <w:vAlign w:val="center"/>
          </w:tcPr>
          <w:p>
            <w:r>
              <w:rPr>
                <w:b/>
              </w:rPr>
              <w:t>Key assumptions</w:t>
            </w:r>
          </w:p>
        </w:tc>
        <w:tc>
          <w:tcPr>
            <w:tcW w:type="dxa" w:w="4680"/>
            <w:shd w:fill="F2F5F8"/>
            <w:tcMar>
              <w:top w:w="120" w:type="dxa"/>
              <w:bottom w:w="120" w:type="dxa"/>
              <w:left w:w="180" w:type="dxa"/>
              <w:right w:w="180" w:type="dxa"/>
            </w:tcMar>
            <w:vAlign w:val="center"/>
          </w:tcPr>
          <w:p>
            <w:r>
              <w:t>• Assumes enterprise inventory files and active carrier logs can be programmatically exported and dumped to shared local directory spaces on a reliable daily cadence.</w:t>
              <w:br/>
              <w:t>• Assumes macro geopolitical or climate disruption events can be reliably categorized and indexed using a clear 1-to-5 scalar severity structure.</w:t>
            </w:r>
          </w:p>
        </w:tc>
      </w:tr>
      <w:tr>
        <w:tc>
          <w:tcPr>
            <w:tcW w:type="dxa" w:w="4680"/>
            <w:shd w:fill="FFFFFF"/>
            <w:tcMar>
              <w:top w:w="120" w:type="dxa"/>
              <w:bottom w:w="120" w:type="dxa"/>
              <w:left w:w="180" w:type="dxa"/>
              <w:right w:w="180" w:type="dxa"/>
            </w:tcMar>
            <w:vAlign w:val="center"/>
          </w:tcPr>
          <w:p>
            <w:r>
              <w:rPr>
                <w:b/>
              </w:rPr>
              <w:t>References/sources</w:t>
            </w:r>
          </w:p>
        </w:tc>
        <w:tc>
          <w:tcPr>
            <w:tcW w:type="dxa" w:w="4680"/>
            <w:shd w:fill="FFFFFF"/>
            <w:tcMar>
              <w:top w:w="120" w:type="dxa"/>
              <w:bottom w:w="120" w:type="dxa"/>
              <w:left w:w="180" w:type="dxa"/>
              <w:right w:w="180" w:type="dxa"/>
            </w:tcMar>
            <w:vAlign w:val="center"/>
          </w:tcPr>
          <w:p>
            <w:r>
              <w:t>• Industry visibility metrics established by the Council of Supply Chain Management Professionals (CSCMP), verifying that early operational insight cuts premium spot-freight overhead expenditure by up to 28% during extended port crises.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