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FE73DF" w14:textId="77777777" w:rsidR="00FE2287" w:rsidRPr="00E4528F" w:rsidRDefault="00000000">
      <w:pPr>
        <w:spacing w:after="760"/>
        <w:jc w:val="center"/>
        <w:rPr>
          <w:rFonts w:cs="Times New Roman"/>
          <w:color w:val="000000" w:themeColor="text1"/>
        </w:rPr>
      </w:pPr>
      <w:r w:rsidRPr="00E4528F">
        <w:rPr>
          <w:rFonts w:cs="Times New Roman"/>
          <w:b/>
          <w:smallCaps/>
          <w:color w:val="000000" w:themeColor="text1"/>
          <w:sz w:val="22"/>
        </w:rPr>
        <w:t>MASTER OF SCIENCE IN COMPUTER SCIENCE</w:t>
      </w:r>
    </w:p>
    <w:p w14:paraId="1EB00615" w14:textId="77777777" w:rsidR="00FE2287" w:rsidRPr="00E4528F" w:rsidRDefault="00000000">
      <w:pPr>
        <w:pStyle w:val="Title"/>
        <w:spacing w:after="320"/>
        <w:jc w:val="center"/>
        <w:rPr>
          <w:rFonts w:ascii="Times New Roman" w:hAnsi="Times New Roman" w:cs="Times New Roman"/>
          <w:color w:val="000000" w:themeColor="text1"/>
        </w:rPr>
      </w:pPr>
      <w:r w:rsidRPr="00E4528F">
        <w:rPr>
          <w:rFonts w:ascii="Times New Roman" w:hAnsi="Times New Roman" w:cs="Times New Roman"/>
          <w:color w:val="000000" w:themeColor="text1"/>
        </w:rPr>
        <w:t>A Decentralised Claims Registry</w:t>
      </w:r>
      <w:r w:rsidRPr="00E4528F">
        <w:rPr>
          <w:rFonts w:ascii="Times New Roman" w:hAnsi="Times New Roman" w:cs="Times New Roman"/>
          <w:color w:val="000000" w:themeColor="text1"/>
        </w:rPr>
        <w:br/>
        <w:t>for AI-Ready Insurance Fraud Detection</w:t>
      </w:r>
    </w:p>
    <w:p w14:paraId="61E625D3" w14:textId="77777777" w:rsidR="00FE2287" w:rsidRPr="00E4528F" w:rsidRDefault="00000000">
      <w:pPr>
        <w:spacing w:after="400"/>
        <w:jc w:val="center"/>
        <w:rPr>
          <w:rFonts w:cs="Times New Roman"/>
          <w:color w:val="000000" w:themeColor="text1"/>
        </w:rPr>
      </w:pPr>
      <w:r w:rsidRPr="00E4528F">
        <w:rPr>
          <w:rFonts w:ascii="MS Mincho" w:eastAsia="MS Mincho" w:hAnsi="MS Mincho" w:cs="MS Mincho" w:hint="eastAsia"/>
          <w:color w:val="000000" w:themeColor="text1"/>
          <w:sz w:val="20"/>
        </w:rPr>
        <w:t>━━━━━━━━━━━━━━━━━━━━━━━━━━━━━━━━━━━━</w:t>
      </w:r>
    </w:p>
    <w:p w14:paraId="5545F375" w14:textId="77777777" w:rsidR="00FE2287" w:rsidRPr="00E4528F" w:rsidRDefault="00000000">
      <w:pPr>
        <w:jc w:val="center"/>
        <w:rPr>
          <w:rFonts w:cs="Times New Roman"/>
          <w:color w:val="000000" w:themeColor="text1"/>
        </w:rPr>
      </w:pPr>
      <w:r w:rsidRPr="00E4528F">
        <w:rPr>
          <w:rFonts w:cs="Times New Roman"/>
          <w:b/>
          <w:color w:val="000000" w:themeColor="text1"/>
          <w:sz w:val="30"/>
        </w:rPr>
        <w:t>GANESH OLI</w:t>
      </w:r>
    </w:p>
    <w:p w14:paraId="7799A73E" w14:textId="77777777" w:rsidR="00FE2287" w:rsidRPr="00E4528F" w:rsidRDefault="00000000">
      <w:pPr>
        <w:spacing w:after="880"/>
        <w:jc w:val="center"/>
        <w:rPr>
          <w:rFonts w:cs="Times New Roman"/>
          <w:color w:val="000000" w:themeColor="text1"/>
        </w:rPr>
      </w:pPr>
      <w:r w:rsidRPr="00E4528F">
        <w:rPr>
          <w:rFonts w:cs="Times New Roman"/>
          <w:color w:val="000000" w:themeColor="text1"/>
          <w:sz w:val="22"/>
        </w:rPr>
        <w:t>Student ID: 3054557</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656"/>
        <w:gridCol w:w="5976"/>
      </w:tblGrid>
      <w:tr w:rsidR="00FE2287" w:rsidRPr="00E4528F" w14:paraId="0FA984A5" w14:textId="77777777">
        <w:trPr>
          <w:jc w:val="center"/>
        </w:trPr>
        <w:tc>
          <w:tcPr>
            <w:tcW w:w="1656" w:type="dxa"/>
            <w:tcMar>
              <w:top w:w="70" w:type="dxa"/>
              <w:left w:w="100" w:type="dxa"/>
              <w:bottom w:w="70" w:type="dxa"/>
              <w:right w:w="100" w:type="dxa"/>
            </w:tcMar>
            <w:vAlign w:val="center"/>
          </w:tcPr>
          <w:p w14:paraId="5CB1EA43"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Dissertation</w:t>
            </w:r>
          </w:p>
        </w:tc>
        <w:tc>
          <w:tcPr>
            <w:tcW w:w="5976" w:type="dxa"/>
            <w:tcMar>
              <w:top w:w="70" w:type="dxa"/>
              <w:left w:w="100" w:type="dxa"/>
              <w:bottom w:w="70" w:type="dxa"/>
              <w:right w:w="100" w:type="dxa"/>
            </w:tcMar>
            <w:vAlign w:val="center"/>
          </w:tcPr>
          <w:p w14:paraId="3074E6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1"/>
              </w:rPr>
              <w:t>Submitted in partial fulfilment of the requirements for the degree</w:t>
            </w:r>
          </w:p>
        </w:tc>
      </w:tr>
      <w:tr w:rsidR="00FE2287" w:rsidRPr="00E4528F" w14:paraId="57DF0D83" w14:textId="77777777">
        <w:trPr>
          <w:jc w:val="center"/>
        </w:trPr>
        <w:tc>
          <w:tcPr>
            <w:tcW w:w="1656" w:type="dxa"/>
            <w:tcMar>
              <w:top w:w="70" w:type="dxa"/>
              <w:left w:w="100" w:type="dxa"/>
              <w:bottom w:w="70" w:type="dxa"/>
              <w:right w:w="100" w:type="dxa"/>
            </w:tcMar>
            <w:vAlign w:val="center"/>
          </w:tcPr>
          <w:p w14:paraId="75526935"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Supervisor</w:t>
            </w:r>
          </w:p>
        </w:tc>
        <w:tc>
          <w:tcPr>
            <w:tcW w:w="5976" w:type="dxa"/>
            <w:tcMar>
              <w:top w:w="70" w:type="dxa"/>
              <w:left w:w="100" w:type="dxa"/>
              <w:bottom w:w="70" w:type="dxa"/>
              <w:right w:w="100" w:type="dxa"/>
            </w:tcMar>
            <w:vAlign w:val="center"/>
          </w:tcPr>
          <w:p w14:paraId="759B0A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1"/>
              </w:rPr>
              <w:t>Dr Amin Karami</w:t>
            </w:r>
          </w:p>
        </w:tc>
      </w:tr>
      <w:tr w:rsidR="00FE2287" w:rsidRPr="00E4528F" w14:paraId="33B6513A" w14:textId="77777777">
        <w:trPr>
          <w:jc w:val="center"/>
        </w:trPr>
        <w:tc>
          <w:tcPr>
            <w:tcW w:w="1656" w:type="dxa"/>
            <w:tcMar>
              <w:top w:w="70" w:type="dxa"/>
              <w:left w:w="100" w:type="dxa"/>
              <w:bottom w:w="70" w:type="dxa"/>
              <w:right w:w="100" w:type="dxa"/>
            </w:tcMar>
            <w:vAlign w:val="center"/>
          </w:tcPr>
          <w:p w14:paraId="23164FDB"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Submission</w:t>
            </w:r>
          </w:p>
        </w:tc>
        <w:tc>
          <w:tcPr>
            <w:tcW w:w="5976" w:type="dxa"/>
            <w:tcMar>
              <w:top w:w="70" w:type="dxa"/>
              <w:left w:w="100" w:type="dxa"/>
              <w:bottom w:w="70" w:type="dxa"/>
              <w:right w:w="100" w:type="dxa"/>
            </w:tcMar>
            <w:vAlign w:val="center"/>
          </w:tcPr>
          <w:p w14:paraId="2A02424D" w14:textId="23AED4DB" w:rsidR="00FE2287" w:rsidRPr="00E4528F" w:rsidRDefault="00983438">
            <w:pPr>
              <w:spacing w:after="0" w:line="240" w:lineRule="auto"/>
              <w:rPr>
                <w:rFonts w:cs="Times New Roman"/>
                <w:color w:val="000000" w:themeColor="text1"/>
              </w:rPr>
            </w:pPr>
            <w:r>
              <w:rPr>
                <w:rFonts w:cs="Times New Roman"/>
                <w:color w:val="000000" w:themeColor="text1"/>
                <w:sz w:val="21"/>
              </w:rPr>
              <w:t>1 September</w:t>
            </w:r>
            <w:r w:rsidRPr="00E4528F">
              <w:rPr>
                <w:rFonts w:cs="Times New Roman"/>
                <w:color w:val="000000" w:themeColor="text1"/>
                <w:sz w:val="21"/>
              </w:rPr>
              <w:t xml:space="preserve"> 2026</w:t>
            </w:r>
          </w:p>
        </w:tc>
      </w:tr>
    </w:tbl>
    <w:p w14:paraId="7456DBF5" w14:textId="77777777" w:rsidR="00FE2287" w:rsidRPr="00E4528F" w:rsidRDefault="00FE2287">
      <w:pPr>
        <w:spacing w:before="1040" w:after="0"/>
        <w:rPr>
          <w:rFonts w:cs="Times New Roman"/>
          <w:color w:val="000000" w:themeColor="text1"/>
        </w:rPr>
      </w:pPr>
    </w:p>
    <w:p w14:paraId="4341478E" w14:textId="77777777" w:rsidR="00FE2287" w:rsidRPr="00E4528F" w:rsidRDefault="00000000">
      <w:pPr>
        <w:spacing w:after="0"/>
        <w:jc w:val="center"/>
        <w:rPr>
          <w:rFonts w:cs="Times New Roman"/>
          <w:color w:val="000000" w:themeColor="text1"/>
        </w:rPr>
      </w:pPr>
      <w:r w:rsidRPr="00E4528F">
        <w:rPr>
          <w:rFonts w:cs="Times New Roman"/>
          <w:i/>
          <w:color w:val="000000" w:themeColor="text1"/>
          <w:sz w:val="18"/>
        </w:rPr>
        <w:t>Decentralised systems • event-driven processing • explainable machine learning</w:t>
      </w:r>
    </w:p>
    <w:p w14:paraId="3A62EEAC" w14:textId="77777777" w:rsidR="00FE2287" w:rsidRPr="00E4528F" w:rsidRDefault="00FE2287">
      <w:pPr>
        <w:rPr>
          <w:rFonts w:cs="Times New Roman"/>
          <w:color w:val="000000" w:themeColor="text1"/>
        </w:rPr>
        <w:sectPr w:rsidR="00FE2287" w:rsidRPr="00E4528F">
          <w:headerReference w:type="default" r:id="rId8"/>
          <w:footerReference w:type="default" r:id="rId9"/>
          <w:pgSz w:w="12240" w:h="15840"/>
          <w:pgMar w:top="1440" w:right="1800" w:bottom="1296" w:left="1800" w:header="648" w:footer="648" w:gutter="0"/>
          <w:cols w:space="720"/>
          <w:docGrid w:linePitch="360"/>
        </w:sectPr>
      </w:pPr>
    </w:p>
    <w:p w14:paraId="006B1F65" w14:textId="77777777" w:rsidR="00FE2287" w:rsidRPr="00E4528F" w:rsidRDefault="00000000">
      <w:pPr>
        <w:pStyle w:val="Heading1"/>
        <w:spacing w:before="0"/>
        <w:rPr>
          <w:rFonts w:ascii="Times New Roman" w:hAnsi="Times New Roman" w:cs="Times New Roman"/>
          <w:color w:val="000000" w:themeColor="text1"/>
        </w:rPr>
      </w:pPr>
      <w:bookmarkStart w:id="0" w:name="bm_abstract"/>
      <w:r w:rsidRPr="00E4528F">
        <w:rPr>
          <w:rFonts w:ascii="Times New Roman" w:hAnsi="Times New Roman" w:cs="Times New Roman"/>
          <w:color w:val="000000" w:themeColor="text1"/>
        </w:rPr>
        <w:lastRenderedPageBreak/>
        <w:t>Abstract</w:t>
      </w:r>
      <w:bookmarkEnd w:id="0"/>
    </w:p>
    <w:p w14:paraId="28A0102D" w14:textId="2F4BF613" w:rsidR="00FE2287" w:rsidRPr="00E4528F" w:rsidRDefault="00000000" w:rsidP="007D6E63">
      <w:pPr>
        <w:spacing w:after="100"/>
        <w:rPr>
          <w:rFonts w:cs="Times New Roman"/>
          <w:color w:val="000000" w:themeColor="text1"/>
          <w:szCs w:val="24"/>
        </w:rPr>
      </w:pPr>
      <w:r>
        <w:rPr>
          <w:rFonts w:cs="Times New Roman"/>
          <w:color w:val="000000" w:themeColor="text1"/>
          <w:szCs w:val="24"/>
        </w:rPr>
        <w:t>Insurance fraud is harder to investigate when records are fragmented, mutable or delivered too late for analysis. This study asks whether a decentralised claims registry and event-driven machine learning can create verifiable, AI-ready claim records without placing sensitive attributes on a public blockchain. The study produced a working Ethereum Sepolia prototype. An eligible claimant or representative receives an insurer-scoped EIP-712 permit and signs the exact ERC-2771 request</w:t>
      </w:r>
      <w:r w:rsidR="00143856">
        <w:rPr>
          <w:rFonts w:cs="Times New Roman"/>
          <w:color w:val="000000" w:themeColor="text1"/>
          <w:szCs w:val="24"/>
        </w:rPr>
        <w:t>.</w:t>
      </w:r>
      <w:r>
        <w:rPr>
          <w:rFonts w:cs="Times New Roman"/>
          <w:color w:val="000000" w:themeColor="text1"/>
          <w:szCs w:val="24"/>
        </w:rPr>
        <w:t xml:space="preserve"> </w:t>
      </w:r>
      <w:r w:rsidR="00143856">
        <w:rPr>
          <w:rFonts w:cs="Times New Roman"/>
          <w:color w:val="000000" w:themeColor="text1"/>
          <w:szCs w:val="24"/>
        </w:rPr>
        <w:t>A</w:t>
      </w:r>
      <w:r>
        <w:rPr>
          <w:rFonts w:cs="Times New Roman"/>
          <w:color w:val="000000" w:themeColor="text1"/>
          <w:szCs w:val="24"/>
        </w:rPr>
        <w:t>n isolated relayer pays gas but cannot invent a valid claim. The registry records claimant, submitter, insurer, commitments and lifecycle state. PostgreSQL, Kafka, IPFS and XGBoost support screening. Keyed fingerprints identify exact duplicate candidates, while a separate console stores append-only human outcomes without changing chain status or retraining the model.</w:t>
      </w:r>
    </w:p>
    <w:p w14:paraId="1F9967D1" w14:textId="5B0D93C7" w:rsidR="00FE2287" w:rsidRPr="00E4528F" w:rsidRDefault="00000000" w:rsidP="007D6E63">
      <w:pPr>
        <w:spacing w:after="100"/>
        <w:rPr>
          <w:rFonts w:cs="Times New Roman"/>
          <w:color w:val="000000" w:themeColor="text1"/>
          <w:szCs w:val="24"/>
        </w:rPr>
      </w:pPr>
      <w:r>
        <w:rPr>
          <w:rFonts w:cs="Times New Roman"/>
          <w:color w:val="000000" w:themeColor="text1"/>
          <w:szCs w:val="24"/>
        </w:rPr>
        <w:t>Model results are reported separately from software verification. The checked-in metadata confirms a chronological test set of 14,998 synthetic motor claims: logistic regression achieved a PR-AUC of 0.1711 and the deployed XGBoost model 0.1647. The dissertation also records tuning, paired-bootstrap, label-permutation, calibration and country-level analyses, but the script and JSON artifact cited for those extensions are absent from the audited commit</w:t>
      </w:r>
      <w:r w:rsidR="00143856">
        <w:rPr>
          <w:rFonts w:cs="Times New Roman"/>
          <w:color w:val="000000" w:themeColor="text1"/>
          <w:szCs w:val="24"/>
        </w:rPr>
        <w:t>.</w:t>
      </w:r>
      <w:r>
        <w:rPr>
          <w:rFonts w:cs="Times New Roman"/>
          <w:color w:val="000000" w:themeColor="text1"/>
          <w:szCs w:val="24"/>
        </w:rPr>
        <w:t xml:space="preserve"> They should therefore be treated as reported rather than repository-reproducible results. 232 non-infrastructure Python tests, 34 frontend tests, 42 contract tests and two Playwright scenarios passed. Ruff, frontend lint, the frontend build and contract compilation also passed. Branch-aware Python coverage was 74.71%, missing the 75% gate by 0.29 percentage points. No controlled latency, throughput or gas benchmark was retained. The evidence supports a well-tested provenance and screening prototype under controlled conditions, not real-world predictive validity, fairness, legal compliance or production scale.</w:t>
      </w:r>
    </w:p>
    <w:p w14:paraId="2F3AB1B5" w14:textId="77777777" w:rsidR="007D6E63" w:rsidRPr="00E4528F" w:rsidRDefault="007D6E63">
      <w:pPr>
        <w:spacing w:after="100" w:line="300" w:lineRule="auto"/>
        <w:rPr>
          <w:rFonts w:cs="Times New Roman"/>
          <w:color w:val="000000" w:themeColor="text1"/>
          <w:szCs w:val="24"/>
        </w:rPr>
      </w:pPr>
    </w:p>
    <w:p w14:paraId="5B307742" w14:textId="77777777" w:rsidR="00FE2287" w:rsidRPr="00E4528F" w:rsidRDefault="00000000">
      <w:pPr>
        <w:spacing w:after="100" w:line="300" w:lineRule="auto"/>
        <w:rPr>
          <w:rFonts w:ascii="Arial" w:hAnsi="Arial" w:cs="Arial"/>
          <w:color w:val="000000" w:themeColor="text1"/>
          <w:sz w:val="22"/>
        </w:rPr>
      </w:pPr>
      <w:r w:rsidRPr="00E4528F">
        <w:rPr>
          <w:rFonts w:ascii="Arial" w:hAnsi="Arial" w:cs="Arial"/>
          <w:b/>
          <w:color w:val="000000" w:themeColor="text1"/>
          <w:sz w:val="22"/>
        </w:rPr>
        <w:t>Keywords:</w:t>
      </w:r>
      <w:r w:rsidRPr="00E4528F">
        <w:rPr>
          <w:rFonts w:ascii="Arial" w:hAnsi="Arial" w:cs="Arial"/>
          <w:color w:val="000000" w:themeColor="text1"/>
          <w:sz w:val="22"/>
        </w:rPr>
        <w:t xml:space="preserve"> insurance fraud; blockchain; smart contracts; event-driven architecture; XGBoost; explainable AI; data provenance.</w:t>
      </w:r>
    </w:p>
    <w:p w14:paraId="6D5BF541" w14:textId="77777777" w:rsidR="00FE2287" w:rsidRPr="00E4528F" w:rsidRDefault="00000000">
      <w:pPr>
        <w:pStyle w:val="Heading1"/>
        <w:pageBreakBefore/>
        <w:spacing w:before="0"/>
        <w:rPr>
          <w:rFonts w:ascii="Times New Roman" w:hAnsi="Times New Roman" w:cs="Times New Roman"/>
          <w:color w:val="000000" w:themeColor="text1"/>
        </w:rPr>
      </w:pPr>
      <w:bookmarkStart w:id="1" w:name="bm_acknowledgements"/>
      <w:r w:rsidRPr="00E4528F">
        <w:rPr>
          <w:rFonts w:ascii="Times New Roman" w:hAnsi="Times New Roman" w:cs="Times New Roman"/>
          <w:color w:val="000000" w:themeColor="text1"/>
        </w:rPr>
        <w:lastRenderedPageBreak/>
        <w:t>Acknowledgements</w:t>
      </w:r>
      <w:bookmarkEnd w:id="1"/>
    </w:p>
    <w:p w14:paraId="7BDCB1C6" w14:textId="77777777" w:rsidR="00FE2287" w:rsidRPr="00E4528F" w:rsidRDefault="00000000" w:rsidP="007D6E63">
      <w:pPr>
        <w:rPr>
          <w:rFonts w:cs="Times New Roman"/>
          <w:color w:val="000000" w:themeColor="text1"/>
        </w:rPr>
      </w:pPr>
      <w:r w:rsidRPr="00E4528F">
        <w:rPr>
          <w:rFonts w:cs="Times New Roman"/>
          <w:color w:val="000000" w:themeColor="text1"/>
        </w:rPr>
        <w:t>I would like to thank my supervisor, Dr Amin Karami, for the questions and guidance that helped turn a broad interest in blockchain and artificial intelligence into a more disciplined investigation. I am also grateful to the lecturers and technical staff who supported the programme, and to my family and friends for their patience throughout the design, implementation and writing of this project. Finally, I acknowledge the researchers and open-source communities whose datasets, libraries and documentation made it possible to build and evaluate the prototype reproducibly.</w:t>
      </w:r>
    </w:p>
    <w:p w14:paraId="5C9D002D" w14:textId="77777777" w:rsidR="00FE2287" w:rsidRPr="00E4528F" w:rsidRDefault="00000000">
      <w:pPr>
        <w:pStyle w:val="Heading1"/>
        <w:pageBreakBefore/>
        <w:rPr>
          <w:rFonts w:ascii="Times New Roman" w:hAnsi="Times New Roman" w:cs="Times New Roman"/>
          <w:color w:val="000000" w:themeColor="text1"/>
        </w:rPr>
      </w:pPr>
      <w:bookmarkStart w:id="2" w:name="bm_contents"/>
      <w:r w:rsidRPr="00E4528F">
        <w:rPr>
          <w:rFonts w:ascii="Times New Roman" w:hAnsi="Times New Roman" w:cs="Times New Roman"/>
          <w:color w:val="000000" w:themeColor="text1"/>
        </w:rPr>
        <w:lastRenderedPageBreak/>
        <w:t>Contents</w:t>
      </w:r>
      <w:bookmarkEnd w:id="2"/>
    </w:p>
    <w:p w14:paraId="0E1C92F2" w14:textId="77777777" w:rsidR="00FE2287" w:rsidRPr="00E4528F" w:rsidRDefault="00FE2287">
      <w:pPr>
        <w:pStyle w:val="TOC11"/>
        <w:tabs>
          <w:tab w:val="right" w:leader="dot" w:pos="8640"/>
        </w:tabs>
        <w:spacing w:after="40"/>
        <w:rPr>
          <w:rFonts w:cs="Times New Roman"/>
          <w:color w:val="000000" w:themeColor="text1"/>
        </w:rPr>
      </w:pPr>
      <w:hyperlink w:anchor="bm_abstract" w:history="1">
        <w:r w:rsidRPr="00E4528F">
          <w:rPr>
            <w:rFonts w:cs="Times New Roman"/>
            <w:color w:val="000000" w:themeColor="text1"/>
          </w:rPr>
          <w:t>Abstract</w:t>
        </w:r>
      </w:hyperlink>
      <w:r w:rsidRPr="00E4528F">
        <w:rPr>
          <w:rFonts w:cs="Times New Roman"/>
          <w:color w:val="000000" w:themeColor="text1"/>
        </w:rPr>
        <w:tab/>
        <w:t>i</w:t>
      </w:r>
    </w:p>
    <w:p w14:paraId="793E0429" w14:textId="77777777" w:rsidR="00FE2287" w:rsidRPr="00E4528F" w:rsidRDefault="00FE2287">
      <w:pPr>
        <w:pStyle w:val="TOC11"/>
        <w:tabs>
          <w:tab w:val="right" w:leader="dot" w:pos="8640"/>
        </w:tabs>
        <w:spacing w:after="40"/>
        <w:rPr>
          <w:rFonts w:cs="Times New Roman"/>
          <w:color w:val="000000" w:themeColor="text1"/>
        </w:rPr>
      </w:pPr>
      <w:hyperlink w:anchor="bm_acknowledgements" w:history="1">
        <w:r w:rsidRPr="00E4528F">
          <w:rPr>
            <w:rFonts w:cs="Times New Roman"/>
            <w:color w:val="000000" w:themeColor="text1"/>
          </w:rPr>
          <w:t>Acknowledgements</w:t>
        </w:r>
      </w:hyperlink>
      <w:r w:rsidRPr="00E4528F">
        <w:rPr>
          <w:rFonts w:cs="Times New Roman"/>
          <w:color w:val="000000" w:themeColor="text1"/>
        </w:rPr>
        <w:tab/>
        <w:t>ii</w:t>
      </w:r>
    </w:p>
    <w:p w14:paraId="5B328637" w14:textId="77777777" w:rsidR="00FE2287" w:rsidRPr="00E4528F" w:rsidRDefault="00FE2287">
      <w:pPr>
        <w:pStyle w:val="TOC11"/>
        <w:tabs>
          <w:tab w:val="right" w:leader="dot" w:pos="8640"/>
        </w:tabs>
        <w:spacing w:after="40"/>
        <w:rPr>
          <w:rFonts w:cs="Times New Roman"/>
          <w:color w:val="000000" w:themeColor="text1"/>
        </w:rPr>
      </w:pPr>
      <w:hyperlink w:anchor="bm_list_tables" w:history="1">
        <w:r w:rsidRPr="00E4528F">
          <w:rPr>
            <w:rFonts w:cs="Times New Roman"/>
            <w:color w:val="000000" w:themeColor="text1"/>
          </w:rPr>
          <w:t>List of Tables</w:t>
        </w:r>
      </w:hyperlink>
      <w:r w:rsidRPr="00E4528F">
        <w:rPr>
          <w:rFonts w:cs="Times New Roman"/>
          <w:color w:val="000000" w:themeColor="text1"/>
        </w:rPr>
        <w:tab/>
        <w:t>v</w:t>
      </w:r>
    </w:p>
    <w:p w14:paraId="3C53C66B" w14:textId="77777777" w:rsidR="00FE2287" w:rsidRPr="00E4528F" w:rsidRDefault="00FE2287">
      <w:pPr>
        <w:pStyle w:val="TOC11"/>
        <w:tabs>
          <w:tab w:val="right" w:leader="dot" w:pos="8640"/>
        </w:tabs>
        <w:spacing w:after="40"/>
        <w:rPr>
          <w:rFonts w:cs="Times New Roman"/>
          <w:color w:val="000000" w:themeColor="text1"/>
        </w:rPr>
      </w:pPr>
      <w:hyperlink w:anchor="bm_list_figures" w:history="1">
        <w:r w:rsidRPr="00E4528F">
          <w:rPr>
            <w:rFonts w:cs="Times New Roman"/>
            <w:color w:val="000000" w:themeColor="text1"/>
          </w:rPr>
          <w:t>List of Figures</w:t>
        </w:r>
      </w:hyperlink>
      <w:r w:rsidRPr="00E4528F">
        <w:rPr>
          <w:rFonts w:cs="Times New Roman"/>
          <w:color w:val="000000" w:themeColor="text1"/>
        </w:rPr>
        <w:tab/>
        <w:t>vi</w:t>
      </w:r>
    </w:p>
    <w:p w14:paraId="74EFD9EC" w14:textId="77777777" w:rsidR="00FE2287" w:rsidRPr="00E4528F" w:rsidRDefault="00FE2287">
      <w:pPr>
        <w:pStyle w:val="TOC11"/>
        <w:tabs>
          <w:tab w:val="right" w:leader="dot" w:pos="8640"/>
        </w:tabs>
        <w:spacing w:after="40"/>
        <w:rPr>
          <w:rFonts w:cs="Times New Roman"/>
          <w:color w:val="000000" w:themeColor="text1"/>
        </w:rPr>
      </w:pPr>
      <w:hyperlink w:anchor="bm_abbreviations" w:history="1">
        <w:r w:rsidRPr="00E4528F">
          <w:rPr>
            <w:rFonts w:cs="Times New Roman"/>
            <w:color w:val="000000" w:themeColor="text1"/>
          </w:rPr>
          <w:t>Abbreviations</w:t>
        </w:r>
      </w:hyperlink>
      <w:r w:rsidRPr="00E4528F">
        <w:rPr>
          <w:rFonts w:cs="Times New Roman"/>
          <w:color w:val="000000" w:themeColor="text1"/>
        </w:rPr>
        <w:tab/>
        <w:t>vii</w:t>
      </w:r>
    </w:p>
    <w:p w14:paraId="308837E2" w14:textId="77777777" w:rsidR="00FE2287" w:rsidRPr="00E4528F" w:rsidRDefault="00FE2287">
      <w:pPr>
        <w:pStyle w:val="TOC11"/>
        <w:tabs>
          <w:tab w:val="right" w:leader="dot" w:pos="8640"/>
        </w:tabs>
        <w:spacing w:after="40"/>
        <w:rPr>
          <w:rFonts w:cs="Times New Roman"/>
          <w:color w:val="000000" w:themeColor="text1"/>
        </w:rPr>
      </w:pPr>
      <w:hyperlink w:anchor="bm_ch1" w:history="1">
        <w:r w:rsidRPr="00E4528F">
          <w:rPr>
            <w:rFonts w:cs="Times New Roman"/>
            <w:color w:val="000000" w:themeColor="text1"/>
          </w:rPr>
          <w:t>Chapter 1: Introduction</w:t>
        </w:r>
      </w:hyperlink>
      <w:r w:rsidRPr="00E4528F">
        <w:rPr>
          <w:rFonts w:cs="Times New Roman"/>
          <w:color w:val="000000" w:themeColor="text1"/>
        </w:rPr>
        <w:tab/>
        <w:t>1</w:t>
      </w:r>
    </w:p>
    <w:p w14:paraId="74D4AA65" w14:textId="77777777" w:rsidR="00FE2287" w:rsidRPr="00E4528F" w:rsidRDefault="00FE2287">
      <w:pPr>
        <w:pStyle w:val="TOC21"/>
        <w:tabs>
          <w:tab w:val="right" w:leader="dot" w:pos="8640"/>
        </w:tabs>
        <w:spacing w:after="40"/>
        <w:ind w:left="360"/>
        <w:rPr>
          <w:rFonts w:cs="Times New Roman"/>
          <w:color w:val="000000" w:themeColor="text1"/>
        </w:rPr>
      </w:pPr>
      <w:hyperlink w:anchor="bm_s1_1" w:history="1">
        <w:r w:rsidRPr="00E4528F">
          <w:rPr>
            <w:rFonts w:cs="Times New Roman"/>
            <w:color w:val="000000" w:themeColor="text1"/>
          </w:rPr>
          <w:t>1.1 Background and motivation</w:t>
        </w:r>
      </w:hyperlink>
      <w:r w:rsidRPr="00E4528F">
        <w:rPr>
          <w:rFonts w:cs="Times New Roman"/>
          <w:color w:val="000000" w:themeColor="text1"/>
        </w:rPr>
        <w:tab/>
        <w:t>1</w:t>
      </w:r>
    </w:p>
    <w:p w14:paraId="1D99E7F8" w14:textId="77777777" w:rsidR="00FE2287" w:rsidRPr="00E4528F" w:rsidRDefault="00FE2287">
      <w:pPr>
        <w:pStyle w:val="TOC21"/>
        <w:tabs>
          <w:tab w:val="right" w:leader="dot" w:pos="8640"/>
        </w:tabs>
        <w:spacing w:after="40"/>
        <w:ind w:left="360"/>
        <w:rPr>
          <w:rFonts w:cs="Times New Roman"/>
          <w:color w:val="000000" w:themeColor="text1"/>
        </w:rPr>
      </w:pPr>
      <w:hyperlink w:anchor="bm_s1_2" w:history="1">
        <w:r w:rsidRPr="00E4528F">
          <w:rPr>
            <w:rFonts w:cs="Times New Roman"/>
            <w:color w:val="000000" w:themeColor="text1"/>
          </w:rPr>
          <w:t>1.2 Problem statement</w:t>
        </w:r>
      </w:hyperlink>
      <w:r w:rsidRPr="00E4528F">
        <w:rPr>
          <w:rFonts w:cs="Times New Roman"/>
          <w:color w:val="000000" w:themeColor="text1"/>
        </w:rPr>
        <w:tab/>
        <w:t>2</w:t>
      </w:r>
    </w:p>
    <w:p w14:paraId="3464D190" w14:textId="77777777" w:rsidR="00FE2287" w:rsidRPr="00E4528F" w:rsidRDefault="00FE2287">
      <w:pPr>
        <w:pStyle w:val="TOC21"/>
        <w:tabs>
          <w:tab w:val="right" w:leader="dot" w:pos="8640"/>
        </w:tabs>
        <w:spacing w:after="40"/>
        <w:ind w:left="360"/>
        <w:rPr>
          <w:rFonts w:cs="Times New Roman"/>
          <w:color w:val="000000" w:themeColor="text1"/>
        </w:rPr>
      </w:pPr>
      <w:hyperlink w:anchor="bm_s1_3" w:history="1">
        <w:r w:rsidRPr="00E4528F">
          <w:rPr>
            <w:rFonts w:cs="Times New Roman"/>
            <w:color w:val="000000" w:themeColor="text1"/>
          </w:rPr>
          <w:t>1.3 Research question and objectives</w:t>
        </w:r>
      </w:hyperlink>
      <w:r w:rsidRPr="00E4528F">
        <w:rPr>
          <w:rFonts w:cs="Times New Roman"/>
          <w:color w:val="000000" w:themeColor="text1"/>
        </w:rPr>
        <w:tab/>
        <w:t>3</w:t>
      </w:r>
    </w:p>
    <w:p w14:paraId="1AC84B32" w14:textId="77777777" w:rsidR="00FE2287" w:rsidRPr="00E4528F" w:rsidRDefault="00FE2287">
      <w:pPr>
        <w:pStyle w:val="TOC21"/>
        <w:tabs>
          <w:tab w:val="right" w:leader="dot" w:pos="8640"/>
        </w:tabs>
        <w:spacing w:after="40"/>
        <w:ind w:left="360"/>
        <w:rPr>
          <w:rFonts w:cs="Times New Roman"/>
          <w:color w:val="000000" w:themeColor="text1"/>
        </w:rPr>
      </w:pPr>
      <w:hyperlink w:anchor="bm_s1_4" w:history="1">
        <w:r w:rsidRPr="00E4528F">
          <w:rPr>
            <w:rFonts w:cs="Times New Roman"/>
            <w:color w:val="000000" w:themeColor="text1"/>
          </w:rPr>
          <w:t>1.4 Contributions</w:t>
        </w:r>
      </w:hyperlink>
      <w:r w:rsidRPr="00E4528F">
        <w:rPr>
          <w:rFonts w:cs="Times New Roman"/>
          <w:color w:val="000000" w:themeColor="text1"/>
        </w:rPr>
        <w:tab/>
        <w:t>3</w:t>
      </w:r>
    </w:p>
    <w:p w14:paraId="10F97464" w14:textId="77777777" w:rsidR="00FE2287" w:rsidRPr="00E4528F" w:rsidRDefault="00FE2287">
      <w:pPr>
        <w:pStyle w:val="TOC21"/>
        <w:tabs>
          <w:tab w:val="right" w:leader="dot" w:pos="8640"/>
        </w:tabs>
        <w:spacing w:after="40"/>
        <w:ind w:left="360"/>
        <w:rPr>
          <w:rFonts w:cs="Times New Roman"/>
          <w:color w:val="000000" w:themeColor="text1"/>
        </w:rPr>
      </w:pPr>
      <w:hyperlink w:anchor="bm_s1_5" w:history="1">
        <w:r w:rsidRPr="00E4528F">
          <w:rPr>
            <w:rFonts w:cs="Times New Roman"/>
            <w:color w:val="000000" w:themeColor="text1"/>
          </w:rPr>
          <w:t>1.5 Scope and boundaries</w:t>
        </w:r>
      </w:hyperlink>
      <w:r w:rsidRPr="00E4528F">
        <w:rPr>
          <w:rFonts w:cs="Times New Roman"/>
          <w:color w:val="000000" w:themeColor="text1"/>
        </w:rPr>
        <w:tab/>
        <w:t>4</w:t>
      </w:r>
    </w:p>
    <w:p w14:paraId="4CF2CEC9" w14:textId="77777777" w:rsidR="00FE2287" w:rsidRPr="00E4528F" w:rsidRDefault="00FE2287">
      <w:pPr>
        <w:pStyle w:val="TOC21"/>
        <w:tabs>
          <w:tab w:val="right" w:leader="dot" w:pos="8640"/>
        </w:tabs>
        <w:spacing w:after="40"/>
        <w:ind w:left="360"/>
        <w:rPr>
          <w:rFonts w:cs="Times New Roman"/>
          <w:color w:val="000000" w:themeColor="text1"/>
        </w:rPr>
      </w:pPr>
      <w:hyperlink w:anchor="bm_s1_6" w:history="1">
        <w:r w:rsidRPr="00E4528F">
          <w:rPr>
            <w:rFonts w:cs="Times New Roman"/>
            <w:color w:val="000000" w:themeColor="text1"/>
          </w:rPr>
          <w:t>1.6 Dissertation structure</w:t>
        </w:r>
      </w:hyperlink>
      <w:r w:rsidRPr="00E4528F">
        <w:rPr>
          <w:rFonts w:cs="Times New Roman"/>
          <w:color w:val="000000" w:themeColor="text1"/>
        </w:rPr>
        <w:tab/>
        <w:t>5</w:t>
      </w:r>
    </w:p>
    <w:p w14:paraId="19F3C02D" w14:textId="77777777" w:rsidR="00FE2287" w:rsidRPr="00E4528F" w:rsidRDefault="00FE2287">
      <w:pPr>
        <w:pStyle w:val="TOC11"/>
        <w:tabs>
          <w:tab w:val="right" w:leader="dot" w:pos="8640"/>
        </w:tabs>
        <w:spacing w:after="40"/>
        <w:rPr>
          <w:rFonts w:cs="Times New Roman"/>
          <w:color w:val="000000" w:themeColor="text1"/>
        </w:rPr>
      </w:pPr>
      <w:hyperlink w:anchor="bm_ch2" w:history="1">
        <w:r w:rsidRPr="00E4528F">
          <w:rPr>
            <w:rFonts w:cs="Times New Roman"/>
            <w:color w:val="000000" w:themeColor="text1"/>
          </w:rPr>
          <w:t>Chapter 2: Literature Review</w:t>
        </w:r>
      </w:hyperlink>
      <w:r w:rsidRPr="00E4528F">
        <w:rPr>
          <w:rFonts w:cs="Times New Roman"/>
          <w:color w:val="000000" w:themeColor="text1"/>
        </w:rPr>
        <w:tab/>
        <w:t>6</w:t>
      </w:r>
    </w:p>
    <w:p w14:paraId="372038F1" w14:textId="77777777" w:rsidR="00FE2287" w:rsidRPr="00E4528F" w:rsidRDefault="00FE2287">
      <w:pPr>
        <w:pStyle w:val="TOC21"/>
        <w:tabs>
          <w:tab w:val="right" w:leader="dot" w:pos="8640"/>
        </w:tabs>
        <w:spacing w:after="40"/>
        <w:ind w:left="360"/>
        <w:rPr>
          <w:rFonts w:cs="Times New Roman"/>
          <w:color w:val="000000" w:themeColor="text1"/>
        </w:rPr>
      </w:pPr>
      <w:hyperlink w:anchor="bm_s2_1" w:history="1">
        <w:r w:rsidRPr="00E4528F">
          <w:rPr>
            <w:rFonts w:cs="Times New Roman"/>
            <w:color w:val="000000" w:themeColor="text1"/>
          </w:rPr>
          <w:t>2.1 Distributed ledgers in insurance</w:t>
        </w:r>
      </w:hyperlink>
      <w:r w:rsidRPr="00E4528F">
        <w:rPr>
          <w:rFonts w:cs="Times New Roman"/>
          <w:color w:val="000000" w:themeColor="text1"/>
        </w:rPr>
        <w:tab/>
        <w:t>6</w:t>
      </w:r>
    </w:p>
    <w:p w14:paraId="6A355109" w14:textId="77777777" w:rsidR="00FE2287" w:rsidRPr="00E4528F" w:rsidRDefault="00FE2287">
      <w:pPr>
        <w:pStyle w:val="TOC21"/>
        <w:tabs>
          <w:tab w:val="right" w:leader="dot" w:pos="8640"/>
        </w:tabs>
        <w:spacing w:after="40"/>
        <w:ind w:left="360"/>
        <w:rPr>
          <w:rFonts w:cs="Times New Roman"/>
          <w:color w:val="000000" w:themeColor="text1"/>
        </w:rPr>
      </w:pPr>
      <w:hyperlink w:anchor="bm_s2_2" w:history="1">
        <w:r w:rsidRPr="00E4528F">
          <w:rPr>
            <w:rFonts w:cs="Times New Roman"/>
            <w:color w:val="000000" w:themeColor="text1"/>
          </w:rPr>
          <w:t>2.2 Machine learning for claim fraud</w:t>
        </w:r>
      </w:hyperlink>
      <w:r w:rsidRPr="00E4528F">
        <w:rPr>
          <w:rFonts w:cs="Times New Roman"/>
          <w:color w:val="000000" w:themeColor="text1"/>
        </w:rPr>
        <w:tab/>
        <w:t>7</w:t>
      </w:r>
    </w:p>
    <w:p w14:paraId="1A72BE28" w14:textId="77777777" w:rsidR="00FE2287" w:rsidRPr="00E4528F" w:rsidRDefault="00FE2287">
      <w:pPr>
        <w:pStyle w:val="TOC21"/>
        <w:tabs>
          <w:tab w:val="right" w:leader="dot" w:pos="8640"/>
        </w:tabs>
        <w:spacing w:after="40"/>
        <w:ind w:left="360"/>
        <w:rPr>
          <w:rFonts w:cs="Times New Roman"/>
          <w:color w:val="000000" w:themeColor="text1"/>
        </w:rPr>
      </w:pPr>
      <w:hyperlink w:anchor="bm_s2_3" w:history="1">
        <w:r w:rsidRPr="00E4528F">
          <w:rPr>
            <w:rFonts w:cs="Times New Roman"/>
            <w:color w:val="000000" w:themeColor="text1"/>
          </w:rPr>
          <w:t>2.3 Combining provenance and analytics</w:t>
        </w:r>
      </w:hyperlink>
      <w:r w:rsidRPr="00E4528F">
        <w:rPr>
          <w:rFonts w:cs="Times New Roman"/>
          <w:color w:val="000000" w:themeColor="text1"/>
        </w:rPr>
        <w:tab/>
        <w:t>8</w:t>
      </w:r>
    </w:p>
    <w:p w14:paraId="3EF5CFFC" w14:textId="77777777" w:rsidR="00FE2287" w:rsidRPr="00E4528F" w:rsidRDefault="00FE2287">
      <w:pPr>
        <w:pStyle w:val="TOC21"/>
        <w:tabs>
          <w:tab w:val="right" w:leader="dot" w:pos="8640"/>
        </w:tabs>
        <w:spacing w:after="40"/>
        <w:ind w:left="360"/>
        <w:rPr>
          <w:rFonts w:cs="Times New Roman"/>
          <w:color w:val="000000" w:themeColor="text1"/>
        </w:rPr>
      </w:pPr>
      <w:hyperlink w:anchor="bm_s2_4" w:history="1">
        <w:r w:rsidRPr="00E4528F">
          <w:rPr>
            <w:rFonts w:cs="Times New Roman"/>
            <w:color w:val="000000" w:themeColor="text1"/>
          </w:rPr>
          <w:t>2.4 Event-driven processing and scalability</w:t>
        </w:r>
      </w:hyperlink>
      <w:r w:rsidRPr="00E4528F">
        <w:rPr>
          <w:rFonts w:cs="Times New Roman"/>
          <w:color w:val="000000" w:themeColor="text1"/>
        </w:rPr>
        <w:tab/>
        <w:t>9</w:t>
      </w:r>
    </w:p>
    <w:p w14:paraId="7738CD03" w14:textId="77777777" w:rsidR="00FE2287" w:rsidRPr="00E4528F" w:rsidRDefault="00FE2287">
      <w:pPr>
        <w:pStyle w:val="TOC21"/>
        <w:tabs>
          <w:tab w:val="right" w:leader="dot" w:pos="8640"/>
        </w:tabs>
        <w:spacing w:after="40"/>
        <w:ind w:left="360"/>
        <w:rPr>
          <w:rFonts w:cs="Times New Roman"/>
          <w:color w:val="000000" w:themeColor="text1"/>
        </w:rPr>
      </w:pPr>
      <w:hyperlink w:anchor="bm_s2_5" w:history="1">
        <w:r w:rsidRPr="00E4528F">
          <w:rPr>
            <w:rFonts w:cs="Times New Roman"/>
            <w:color w:val="000000" w:themeColor="text1"/>
          </w:rPr>
          <w:t>2.5 Privacy, explainability and governance</w:t>
        </w:r>
      </w:hyperlink>
      <w:r w:rsidRPr="00E4528F">
        <w:rPr>
          <w:rFonts w:cs="Times New Roman"/>
          <w:color w:val="000000" w:themeColor="text1"/>
        </w:rPr>
        <w:tab/>
        <w:t>10</w:t>
      </w:r>
    </w:p>
    <w:p w14:paraId="591DDD75" w14:textId="77777777" w:rsidR="00FE2287" w:rsidRPr="00E4528F" w:rsidRDefault="00FE2287">
      <w:pPr>
        <w:pStyle w:val="TOC21"/>
        <w:tabs>
          <w:tab w:val="right" w:leader="dot" w:pos="8640"/>
        </w:tabs>
        <w:spacing w:after="40"/>
        <w:ind w:left="360"/>
        <w:rPr>
          <w:rFonts w:cs="Times New Roman"/>
          <w:color w:val="000000" w:themeColor="text1"/>
        </w:rPr>
      </w:pPr>
      <w:hyperlink w:anchor="bm_s2_6" w:history="1">
        <w:r w:rsidRPr="00E4528F">
          <w:rPr>
            <w:rFonts w:cs="Times New Roman"/>
            <w:color w:val="000000" w:themeColor="text1"/>
          </w:rPr>
          <w:t>2.6 Critical synthesis and research gap</w:t>
        </w:r>
      </w:hyperlink>
      <w:r w:rsidRPr="00E4528F">
        <w:rPr>
          <w:rFonts w:cs="Times New Roman"/>
          <w:color w:val="000000" w:themeColor="text1"/>
        </w:rPr>
        <w:tab/>
        <w:t>12</w:t>
      </w:r>
    </w:p>
    <w:p w14:paraId="69C5A499" w14:textId="77777777" w:rsidR="00FE2287" w:rsidRPr="00E4528F" w:rsidRDefault="00FE2287">
      <w:pPr>
        <w:pStyle w:val="TOC11"/>
        <w:tabs>
          <w:tab w:val="right" w:leader="dot" w:pos="8640"/>
        </w:tabs>
        <w:spacing w:after="40"/>
        <w:rPr>
          <w:rFonts w:cs="Times New Roman"/>
          <w:color w:val="000000" w:themeColor="text1"/>
        </w:rPr>
      </w:pPr>
      <w:hyperlink w:anchor="bm_ch3" w:history="1">
        <w:r w:rsidRPr="00E4528F">
          <w:rPr>
            <w:rFonts w:cs="Times New Roman"/>
            <w:color w:val="000000" w:themeColor="text1"/>
          </w:rPr>
          <w:t>Chapter 3: Methodology and System Design</w:t>
        </w:r>
      </w:hyperlink>
      <w:r w:rsidRPr="00E4528F">
        <w:rPr>
          <w:rFonts w:cs="Times New Roman"/>
          <w:color w:val="000000" w:themeColor="text1"/>
        </w:rPr>
        <w:tab/>
        <w:t>14</w:t>
      </w:r>
    </w:p>
    <w:p w14:paraId="5E486C47" w14:textId="77777777" w:rsidR="00FE2287" w:rsidRPr="00E4528F" w:rsidRDefault="00FE2287">
      <w:pPr>
        <w:pStyle w:val="TOC21"/>
        <w:tabs>
          <w:tab w:val="right" w:leader="dot" w:pos="8640"/>
        </w:tabs>
        <w:spacing w:after="40"/>
        <w:ind w:left="360"/>
        <w:rPr>
          <w:rFonts w:cs="Times New Roman"/>
          <w:color w:val="000000" w:themeColor="text1"/>
        </w:rPr>
      </w:pPr>
      <w:hyperlink w:anchor="bm_s3_1" w:history="1">
        <w:r w:rsidRPr="00E4528F">
          <w:rPr>
            <w:rFonts w:cs="Times New Roman"/>
            <w:color w:val="000000" w:themeColor="text1"/>
          </w:rPr>
          <w:t>3.1 Research strategy</w:t>
        </w:r>
      </w:hyperlink>
      <w:r w:rsidRPr="00E4528F">
        <w:rPr>
          <w:rFonts w:cs="Times New Roman"/>
          <w:color w:val="000000" w:themeColor="text1"/>
        </w:rPr>
        <w:tab/>
        <w:t>14</w:t>
      </w:r>
    </w:p>
    <w:p w14:paraId="1B6ED2CF" w14:textId="77777777" w:rsidR="00FE2287" w:rsidRPr="00E4528F" w:rsidRDefault="00FE2287">
      <w:pPr>
        <w:pStyle w:val="TOC21"/>
        <w:tabs>
          <w:tab w:val="right" w:leader="dot" w:pos="8640"/>
        </w:tabs>
        <w:spacing w:after="40"/>
        <w:ind w:left="360"/>
        <w:rPr>
          <w:rFonts w:cs="Times New Roman"/>
          <w:color w:val="000000" w:themeColor="text1"/>
        </w:rPr>
      </w:pPr>
      <w:hyperlink w:anchor="bm_s3_2" w:history="1">
        <w:r w:rsidRPr="00E4528F">
          <w:rPr>
            <w:rFonts w:cs="Times New Roman"/>
            <w:color w:val="000000" w:themeColor="text1"/>
          </w:rPr>
          <w:t>3.2 Requirements and threat model</w:t>
        </w:r>
      </w:hyperlink>
      <w:r w:rsidRPr="00E4528F">
        <w:rPr>
          <w:rFonts w:cs="Times New Roman"/>
          <w:color w:val="000000" w:themeColor="text1"/>
        </w:rPr>
        <w:tab/>
        <w:t>15</w:t>
      </w:r>
    </w:p>
    <w:p w14:paraId="059A2213" w14:textId="77777777" w:rsidR="00FE2287" w:rsidRPr="00E4528F" w:rsidRDefault="00FE2287">
      <w:pPr>
        <w:pStyle w:val="TOC21"/>
        <w:tabs>
          <w:tab w:val="right" w:leader="dot" w:pos="8640"/>
        </w:tabs>
        <w:spacing w:after="40"/>
        <w:ind w:left="360"/>
        <w:rPr>
          <w:rFonts w:cs="Times New Roman"/>
          <w:color w:val="000000" w:themeColor="text1"/>
        </w:rPr>
      </w:pPr>
      <w:hyperlink w:anchor="bm_s3_3" w:history="1">
        <w:r w:rsidRPr="00E4528F">
          <w:rPr>
            <w:rFonts w:cs="Times New Roman"/>
            <w:color w:val="000000" w:themeColor="text1"/>
          </w:rPr>
          <w:t>3.3 Implemented architecture</w:t>
        </w:r>
      </w:hyperlink>
      <w:r w:rsidRPr="00E4528F">
        <w:rPr>
          <w:rFonts w:cs="Times New Roman"/>
          <w:color w:val="000000" w:themeColor="text1"/>
        </w:rPr>
        <w:tab/>
        <w:t>17</w:t>
      </w:r>
    </w:p>
    <w:p w14:paraId="0519E256" w14:textId="77777777" w:rsidR="00FE2287" w:rsidRPr="00E4528F" w:rsidRDefault="00FE2287">
      <w:pPr>
        <w:pStyle w:val="TOC21"/>
        <w:tabs>
          <w:tab w:val="right" w:leader="dot" w:pos="8640"/>
        </w:tabs>
        <w:spacing w:after="40"/>
        <w:ind w:left="360"/>
        <w:rPr>
          <w:rFonts w:cs="Times New Roman"/>
          <w:color w:val="000000" w:themeColor="text1"/>
        </w:rPr>
      </w:pPr>
      <w:hyperlink w:anchor="bm_s3_4" w:history="1">
        <w:r w:rsidRPr="00E4528F">
          <w:rPr>
            <w:rFonts w:cs="Times New Roman"/>
            <w:color w:val="000000" w:themeColor="text1"/>
          </w:rPr>
          <w:t>3.4 On-chain registry and gasless authorisation</w:t>
        </w:r>
      </w:hyperlink>
      <w:r w:rsidRPr="00E4528F">
        <w:rPr>
          <w:rFonts w:cs="Times New Roman"/>
          <w:color w:val="000000" w:themeColor="text1"/>
        </w:rPr>
        <w:tab/>
        <w:t>18</w:t>
      </w:r>
    </w:p>
    <w:p w14:paraId="4D0CAFE5" w14:textId="77777777" w:rsidR="00FE2287" w:rsidRPr="00E4528F" w:rsidRDefault="00FE2287">
      <w:pPr>
        <w:pStyle w:val="TOC21"/>
        <w:tabs>
          <w:tab w:val="right" w:leader="dot" w:pos="8640"/>
        </w:tabs>
        <w:spacing w:after="40"/>
        <w:ind w:left="360"/>
        <w:rPr>
          <w:rFonts w:cs="Times New Roman"/>
          <w:color w:val="000000" w:themeColor="text1"/>
        </w:rPr>
      </w:pPr>
      <w:hyperlink w:anchor="bm_s3_5" w:history="1">
        <w:r w:rsidRPr="00E4528F">
          <w:rPr>
            <w:rFonts w:cs="Times New Roman"/>
            <w:color w:val="000000" w:themeColor="text1"/>
          </w:rPr>
          <w:t>3.5 Off-chain storage and replay safety</w:t>
        </w:r>
      </w:hyperlink>
      <w:r w:rsidRPr="00E4528F">
        <w:rPr>
          <w:rFonts w:cs="Times New Roman"/>
          <w:color w:val="000000" w:themeColor="text1"/>
        </w:rPr>
        <w:tab/>
        <w:t>19</w:t>
      </w:r>
    </w:p>
    <w:p w14:paraId="7AC4B5EF" w14:textId="77777777" w:rsidR="00FE2287" w:rsidRPr="00E4528F" w:rsidRDefault="00FE2287">
      <w:pPr>
        <w:pStyle w:val="TOC21"/>
        <w:tabs>
          <w:tab w:val="right" w:leader="dot" w:pos="8640"/>
        </w:tabs>
        <w:spacing w:after="40"/>
        <w:ind w:left="360"/>
        <w:rPr>
          <w:rFonts w:cs="Times New Roman"/>
          <w:color w:val="000000" w:themeColor="text1"/>
        </w:rPr>
      </w:pPr>
      <w:hyperlink w:anchor="bm_s3_6" w:history="1">
        <w:r w:rsidRPr="00E4528F">
          <w:rPr>
            <w:rFonts w:cs="Times New Roman"/>
            <w:color w:val="000000" w:themeColor="text1"/>
          </w:rPr>
          <w:t>3.6 Feature and duplicate engineering</w:t>
        </w:r>
      </w:hyperlink>
      <w:r w:rsidRPr="00E4528F">
        <w:rPr>
          <w:rFonts w:cs="Times New Roman"/>
          <w:color w:val="000000" w:themeColor="text1"/>
        </w:rPr>
        <w:tab/>
        <w:t>21</w:t>
      </w:r>
    </w:p>
    <w:p w14:paraId="6784988B" w14:textId="77777777" w:rsidR="00FE2287" w:rsidRPr="00E4528F" w:rsidRDefault="00FE2287">
      <w:pPr>
        <w:pStyle w:val="TOC21"/>
        <w:tabs>
          <w:tab w:val="right" w:leader="dot" w:pos="8640"/>
        </w:tabs>
        <w:spacing w:after="40"/>
        <w:ind w:left="360"/>
        <w:rPr>
          <w:rFonts w:cs="Times New Roman"/>
          <w:color w:val="000000" w:themeColor="text1"/>
        </w:rPr>
      </w:pPr>
      <w:hyperlink w:anchor="bm_s3_7" w:history="1">
        <w:r w:rsidRPr="00E4528F">
          <w:rPr>
            <w:rFonts w:cs="Times New Roman"/>
            <w:color w:val="000000" w:themeColor="text1"/>
          </w:rPr>
          <w:t>3.7 Predictive modelling method</w:t>
        </w:r>
      </w:hyperlink>
      <w:r w:rsidRPr="00E4528F">
        <w:rPr>
          <w:rFonts w:cs="Times New Roman"/>
          <w:color w:val="000000" w:themeColor="text1"/>
        </w:rPr>
        <w:tab/>
        <w:t>21</w:t>
      </w:r>
    </w:p>
    <w:p w14:paraId="64DCFCF6" w14:textId="77777777" w:rsidR="00FE2287" w:rsidRPr="00E4528F" w:rsidRDefault="00FE2287">
      <w:pPr>
        <w:pStyle w:val="TOC21"/>
        <w:tabs>
          <w:tab w:val="right" w:leader="dot" w:pos="8640"/>
        </w:tabs>
        <w:spacing w:after="40"/>
        <w:ind w:left="360"/>
        <w:rPr>
          <w:rFonts w:cs="Times New Roman"/>
          <w:color w:val="000000" w:themeColor="text1"/>
        </w:rPr>
      </w:pPr>
      <w:hyperlink w:anchor="bm_s3_8" w:history="1">
        <w:r w:rsidRPr="00E4528F">
          <w:rPr>
            <w:rFonts w:cs="Times New Roman"/>
            <w:color w:val="000000" w:themeColor="text1"/>
          </w:rPr>
          <w:t>3.8 Evaluation design</w:t>
        </w:r>
      </w:hyperlink>
      <w:r w:rsidRPr="00E4528F">
        <w:rPr>
          <w:rFonts w:cs="Times New Roman"/>
          <w:color w:val="000000" w:themeColor="text1"/>
        </w:rPr>
        <w:tab/>
        <w:t>22</w:t>
      </w:r>
    </w:p>
    <w:p w14:paraId="0CE15BDC" w14:textId="77777777" w:rsidR="00FE2287" w:rsidRPr="00E4528F" w:rsidRDefault="00FE2287">
      <w:pPr>
        <w:pStyle w:val="TOC21"/>
        <w:tabs>
          <w:tab w:val="right" w:leader="dot" w:pos="8640"/>
        </w:tabs>
        <w:spacing w:after="40"/>
        <w:ind w:left="360"/>
        <w:rPr>
          <w:rFonts w:cs="Times New Roman"/>
          <w:color w:val="000000" w:themeColor="text1"/>
        </w:rPr>
      </w:pPr>
      <w:hyperlink w:anchor="bm_s3_9" w:history="1">
        <w:r w:rsidRPr="00E4528F">
          <w:rPr>
            <w:rFonts w:cs="Times New Roman"/>
            <w:color w:val="000000" w:themeColor="text1"/>
          </w:rPr>
          <w:t>3.9 Ethics, privacy and validity</w:t>
        </w:r>
      </w:hyperlink>
      <w:r w:rsidRPr="00E4528F">
        <w:rPr>
          <w:rFonts w:cs="Times New Roman"/>
          <w:color w:val="000000" w:themeColor="text1"/>
        </w:rPr>
        <w:tab/>
        <w:t>23</w:t>
      </w:r>
    </w:p>
    <w:p w14:paraId="3C8DCF61" w14:textId="77777777" w:rsidR="00FE2287" w:rsidRPr="00E4528F" w:rsidRDefault="00FE2287">
      <w:pPr>
        <w:pStyle w:val="TOC11"/>
        <w:tabs>
          <w:tab w:val="right" w:leader="dot" w:pos="8640"/>
        </w:tabs>
        <w:spacing w:after="40"/>
        <w:rPr>
          <w:rFonts w:cs="Times New Roman"/>
          <w:color w:val="000000" w:themeColor="text1"/>
        </w:rPr>
      </w:pPr>
      <w:hyperlink w:anchor="bm_ch4" w:history="1">
        <w:r w:rsidRPr="00E4528F">
          <w:rPr>
            <w:rFonts w:cs="Times New Roman"/>
            <w:color w:val="000000" w:themeColor="text1"/>
          </w:rPr>
          <w:t>Chapter 4: Implementation</w:t>
        </w:r>
      </w:hyperlink>
      <w:r w:rsidRPr="00E4528F">
        <w:rPr>
          <w:rFonts w:cs="Times New Roman"/>
          <w:color w:val="000000" w:themeColor="text1"/>
        </w:rPr>
        <w:tab/>
        <w:t>25</w:t>
      </w:r>
    </w:p>
    <w:p w14:paraId="27598884" w14:textId="77777777" w:rsidR="00FE2287" w:rsidRPr="00E4528F" w:rsidRDefault="00FE2287">
      <w:pPr>
        <w:pStyle w:val="TOC21"/>
        <w:tabs>
          <w:tab w:val="right" w:leader="dot" w:pos="8640"/>
        </w:tabs>
        <w:spacing w:after="40"/>
        <w:ind w:left="360"/>
        <w:rPr>
          <w:rFonts w:cs="Times New Roman"/>
          <w:color w:val="000000" w:themeColor="text1"/>
        </w:rPr>
      </w:pPr>
      <w:hyperlink w:anchor="bm_s4_1" w:history="1">
        <w:r w:rsidRPr="00E4528F">
          <w:rPr>
            <w:rFonts w:cs="Times New Roman"/>
            <w:color w:val="000000" w:themeColor="text1"/>
          </w:rPr>
          <w:t>4.1 Prototype implementation</w:t>
        </w:r>
      </w:hyperlink>
      <w:r w:rsidRPr="00E4528F">
        <w:rPr>
          <w:rFonts w:cs="Times New Roman"/>
          <w:color w:val="000000" w:themeColor="text1"/>
        </w:rPr>
        <w:tab/>
        <w:t>25</w:t>
      </w:r>
    </w:p>
    <w:p w14:paraId="30D70659" w14:textId="77777777" w:rsidR="00FE2287" w:rsidRPr="00E4528F" w:rsidRDefault="00FE2287">
      <w:pPr>
        <w:pStyle w:val="TOC21"/>
        <w:tabs>
          <w:tab w:val="right" w:leader="dot" w:pos="8640"/>
        </w:tabs>
        <w:spacing w:after="40"/>
        <w:ind w:left="360"/>
        <w:rPr>
          <w:rFonts w:cs="Times New Roman"/>
          <w:color w:val="000000" w:themeColor="text1"/>
        </w:rPr>
      </w:pPr>
      <w:hyperlink w:anchor="bm_s4_2" w:history="1">
        <w:r w:rsidRPr="00E4528F">
          <w:rPr>
            <w:rFonts w:cs="Times New Roman"/>
            <w:color w:val="000000" w:themeColor="text1"/>
          </w:rPr>
          <w:t>4.2 Data and model implementation</w:t>
        </w:r>
      </w:hyperlink>
      <w:r w:rsidRPr="00E4528F">
        <w:rPr>
          <w:rFonts w:cs="Times New Roman"/>
          <w:color w:val="000000" w:themeColor="text1"/>
        </w:rPr>
        <w:tab/>
        <w:t>26</w:t>
      </w:r>
    </w:p>
    <w:p w14:paraId="441B485E" w14:textId="77777777" w:rsidR="00FE2287" w:rsidRPr="00E4528F" w:rsidRDefault="00FE2287">
      <w:pPr>
        <w:pStyle w:val="TOC21"/>
        <w:tabs>
          <w:tab w:val="right" w:leader="dot" w:pos="8640"/>
        </w:tabs>
        <w:spacing w:after="40"/>
        <w:ind w:left="360"/>
        <w:rPr>
          <w:rFonts w:cs="Times New Roman"/>
          <w:color w:val="000000" w:themeColor="text1"/>
        </w:rPr>
      </w:pPr>
      <w:hyperlink w:anchor="bm_s4_3" w:history="1">
        <w:r w:rsidRPr="00E4528F">
          <w:rPr>
            <w:rFonts w:cs="Times New Roman"/>
            <w:color w:val="000000" w:themeColor="text1"/>
          </w:rPr>
          <w:t>4.3 Explainability and review support</w:t>
        </w:r>
      </w:hyperlink>
      <w:r w:rsidRPr="00E4528F">
        <w:rPr>
          <w:rFonts w:cs="Times New Roman"/>
          <w:color w:val="000000" w:themeColor="text1"/>
        </w:rPr>
        <w:tab/>
        <w:t>27</w:t>
      </w:r>
    </w:p>
    <w:p w14:paraId="65B4154A" w14:textId="77777777" w:rsidR="00FE2287" w:rsidRPr="00E4528F" w:rsidRDefault="00FE2287">
      <w:pPr>
        <w:pStyle w:val="TOC21"/>
        <w:tabs>
          <w:tab w:val="right" w:leader="dot" w:pos="8640"/>
        </w:tabs>
        <w:spacing w:after="40"/>
        <w:ind w:left="360"/>
        <w:rPr>
          <w:rFonts w:cs="Times New Roman"/>
          <w:color w:val="000000" w:themeColor="text1"/>
        </w:rPr>
      </w:pPr>
      <w:hyperlink w:anchor="bm_s4_4" w:history="1">
        <w:r w:rsidRPr="00E4528F">
          <w:rPr>
            <w:rFonts w:cs="Times New Roman"/>
            <w:color w:val="000000" w:themeColor="text1"/>
          </w:rPr>
          <w:t>4.4 Software verification</w:t>
        </w:r>
      </w:hyperlink>
      <w:r w:rsidRPr="00E4528F">
        <w:rPr>
          <w:rFonts w:cs="Times New Roman"/>
          <w:color w:val="000000" w:themeColor="text1"/>
        </w:rPr>
        <w:tab/>
        <w:t>28</w:t>
      </w:r>
    </w:p>
    <w:p w14:paraId="48A19B3D" w14:textId="77777777" w:rsidR="00FE2287" w:rsidRPr="00E4528F" w:rsidRDefault="00FE2287">
      <w:pPr>
        <w:pStyle w:val="TOC11"/>
        <w:tabs>
          <w:tab w:val="right" w:leader="dot" w:pos="8640"/>
        </w:tabs>
        <w:spacing w:after="40"/>
        <w:rPr>
          <w:rFonts w:cs="Times New Roman"/>
          <w:color w:val="000000" w:themeColor="text1"/>
        </w:rPr>
      </w:pPr>
      <w:hyperlink w:anchor="bm_ch5" w:history="1">
        <w:r w:rsidRPr="00E4528F">
          <w:rPr>
            <w:rFonts w:cs="Times New Roman"/>
            <w:color w:val="000000" w:themeColor="text1"/>
          </w:rPr>
          <w:t>Chapter 5: Results</w:t>
        </w:r>
      </w:hyperlink>
      <w:r w:rsidRPr="00E4528F">
        <w:rPr>
          <w:rFonts w:cs="Times New Roman"/>
          <w:color w:val="000000" w:themeColor="text1"/>
        </w:rPr>
        <w:tab/>
        <w:t>29</w:t>
      </w:r>
    </w:p>
    <w:p w14:paraId="7ACD4774" w14:textId="77777777" w:rsidR="00FE2287" w:rsidRPr="00E4528F" w:rsidRDefault="00FE2287">
      <w:pPr>
        <w:pStyle w:val="TOC21"/>
        <w:tabs>
          <w:tab w:val="right" w:leader="dot" w:pos="8640"/>
        </w:tabs>
        <w:spacing w:after="40"/>
        <w:ind w:left="360"/>
        <w:rPr>
          <w:rFonts w:cs="Times New Roman"/>
          <w:color w:val="000000" w:themeColor="text1"/>
        </w:rPr>
      </w:pPr>
      <w:hyperlink w:anchor="bm_s5_1" w:history="1">
        <w:r w:rsidRPr="00E4528F">
          <w:rPr>
            <w:rFonts w:cs="Times New Roman"/>
            <w:color w:val="000000" w:themeColor="text1"/>
          </w:rPr>
          <w:t>5.1 Predictive performance and uncertainty</w:t>
        </w:r>
      </w:hyperlink>
      <w:r w:rsidRPr="00E4528F">
        <w:rPr>
          <w:rFonts w:cs="Times New Roman"/>
          <w:color w:val="000000" w:themeColor="text1"/>
        </w:rPr>
        <w:tab/>
        <w:t>29</w:t>
      </w:r>
    </w:p>
    <w:p w14:paraId="303B143E" w14:textId="77777777" w:rsidR="00FE2287" w:rsidRPr="00E4528F" w:rsidRDefault="00FE2287">
      <w:pPr>
        <w:pStyle w:val="TOC21"/>
        <w:tabs>
          <w:tab w:val="right" w:leader="dot" w:pos="8640"/>
        </w:tabs>
        <w:spacing w:after="40"/>
        <w:ind w:left="360"/>
        <w:rPr>
          <w:rFonts w:cs="Times New Roman"/>
          <w:color w:val="000000" w:themeColor="text1"/>
        </w:rPr>
      </w:pPr>
      <w:hyperlink w:anchor="bm_s5_2" w:history="1">
        <w:r w:rsidRPr="00E4528F">
          <w:rPr>
            <w:rFonts w:cs="Times New Roman"/>
            <w:color w:val="000000" w:themeColor="text1"/>
          </w:rPr>
          <w:t>5.2 Hyperparameter search</w:t>
        </w:r>
      </w:hyperlink>
      <w:r w:rsidRPr="00E4528F">
        <w:rPr>
          <w:rFonts w:cs="Times New Roman"/>
          <w:color w:val="000000" w:themeColor="text1"/>
        </w:rPr>
        <w:tab/>
        <w:t>31</w:t>
      </w:r>
    </w:p>
    <w:p w14:paraId="658465F6" w14:textId="77777777" w:rsidR="00FE2287" w:rsidRPr="00E4528F" w:rsidRDefault="00FE2287">
      <w:pPr>
        <w:pStyle w:val="TOC21"/>
        <w:tabs>
          <w:tab w:val="right" w:leader="dot" w:pos="8640"/>
        </w:tabs>
        <w:spacing w:after="40"/>
        <w:ind w:left="360"/>
        <w:rPr>
          <w:rFonts w:cs="Times New Roman"/>
          <w:color w:val="000000" w:themeColor="text1"/>
        </w:rPr>
      </w:pPr>
      <w:hyperlink w:anchor="bm_s5_3" w:history="1">
        <w:r w:rsidRPr="00E4528F">
          <w:rPr>
            <w:rFonts w:cs="Times New Roman"/>
            <w:color w:val="000000" w:themeColor="text1"/>
          </w:rPr>
          <w:t>5.3 Signal diagnostic</w:t>
        </w:r>
      </w:hyperlink>
      <w:r w:rsidRPr="00E4528F">
        <w:rPr>
          <w:rFonts w:cs="Times New Roman"/>
          <w:color w:val="000000" w:themeColor="text1"/>
        </w:rPr>
        <w:tab/>
        <w:t>32</w:t>
      </w:r>
    </w:p>
    <w:p w14:paraId="23488D99" w14:textId="77777777" w:rsidR="00FE2287" w:rsidRPr="00E4528F" w:rsidRDefault="00FE2287">
      <w:pPr>
        <w:pStyle w:val="TOC21"/>
        <w:tabs>
          <w:tab w:val="right" w:leader="dot" w:pos="8640"/>
        </w:tabs>
        <w:spacing w:after="40"/>
        <w:ind w:left="360"/>
        <w:rPr>
          <w:rFonts w:cs="Times New Roman"/>
          <w:color w:val="000000" w:themeColor="text1"/>
        </w:rPr>
      </w:pPr>
      <w:hyperlink w:anchor="bm_s5_4" w:history="1">
        <w:r w:rsidRPr="00E4528F">
          <w:rPr>
            <w:rFonts w:cs="Times New Roman"/>
            <w:color w:val="000000" w:themeColor="text1"/>
          </w:rPr>
          <w:t>5.4 Country-level audit</w:t>
        </w:r>
      </w:hyperlink>
      <w:r w:rsidRPr="00E4528F">
        <w:rPr>
          <w:rFonts w:cs="Times New Roman"/>
          <w:color w:val="000000" w:themeColor="text1"/>
        </w:rPr>
        <w:tab/>
        <w:t>33</w:t>
      </w:r>
    </w:p>
    <w:p w14:paraId="316CEA65" w14:textId="77777777" w:rsidR="00FE2287" w:rsidRPr="00E4528F" w:rsidRDefault="00FE2287">
      <w:pPr>
        <w:pStyle w:val="TOC21"/>
        <w:tabs>
          <w:tab w:val="right" w:leader="dot" w:pos="8640"/>
        </w:tabs>
        <w:spacing w:after="40"/>
        <w:ind w:left="360"/>
        <w:rPr>
          <w:rFonts w:cs="Times New Roman"/>
          <w:color w:val="000000" w:themeColor="text1"/>
        </w:rPr>
      </w:pPr>
      <w:hyperlink w:anchor="bm_s5_5" w:history="1">
        <w:r w:rsidRPr="00E4528F">
          <w:rPr>
            <w:rFonts w:cs="Times New Roman"/>
            <w:color w:val="000000" w:themeColor="text1"/>
          </w:rPr>
          <w:t>5.5 Calibration</w:t>
        </w:r>
      </w:hyperlink>
      <w:r w:rsidRPr="00E4528F">
        <w:rPr>
          <w:rFonts w:cs="Times New Roman"/>
          <w:color w:val="000000" w:themeColor="text1"/>
        </w:rPr>
        <w:tab/>
        <w:t>34</w:t>
      </w:r>
    </w:p>
    <w:p w14:paraId="3A68E6EE" w14:textId="77777777" w:rsidR="00FE2287" w:rsidRPr="00E4528F" w:rsidRDefault="00FE2287">
      <w:pPr>
        <w:pStyle w:val="TOC21"/>
        <w:tabs>
          <w:tab w:val="right" w:leader="dot" w:pos="8640"/>
        </w:tabs>
        <w:spacing w:after="40"/>
        <w:ind w:left="360"/>
        <w:rPr>
          <w:rFonts w:cs="Times New Roman"/>
          <w:color w:val="000000" w:themeColor="text1"/>
        </w:rPr>
      </w:pPr>
      <w:hyperlink w:anchor="bm_s5_6" w:history="1">
        <w:r w:rsidRPr="00E4528F">
          <w:rPr>
            <w:rFonts w:cs="Times New Roman"/>
            <w:color w:val="000000" w:themeColor="text1"/>
          </w:rPr>
          <w:t>5.6 System-evaluation boundary</w:t>
        </w:r>
      </w:hyperlink>
      <w:r w:rsidRPr="00E4528F">
        <w:rPr>
          <w:rFonts w:cs="Times New Roman"/>
          <w:color w:val="000000" w:themeColor="text1"/>
        </w:rPr>
        <w:tab/>
        <w:t>35</w:t>
      </w:r>
    </w:p>
    <w:p w14:paraId="657001D0" w14:textId="77777777" w:rsidR="00FE2287" w:rsidRPr="00E4528F" w:rsidRDefault="00FE2287">
      <w:pPr>
        <w:pStyle w:val="TOC11"/>
        <w:tabs>
          <w:tab w:val="right" w:leader="dot" w:pos="8640"/>
        </w:tabs>
        <w:spacing w:after="40"/>
        <w:rPr>
          <w:rFonts w:cs="Times New Roman"/>
          <w:color w:val="000000" w:themeColor="text1"/>
        </w:rPr>
      </w:pPr>
      <w:hyperlink w:anchor="bm_ch6" w:history="1">
        <w:r w:rsidRPr="00E4528F">
          <w:rPr>
            <w:rFonts w:cs="Times New Roman"/>
            <w:color w:val="000000" w:themeColor="text1"/>
          </w:rPr>
          <w:t>Chapter 6: Discussion</w:t>
        </w:r>
      </w:hyperlink>
      <w:r w:rsidRPr="00E4528F">
        <w:rPr>
          <w:rFonts w:cs="Times New Roman"/>
          <w:color w:val="000000" w:themeColor="text1"/>
        </w:rPr>
        <w:tab/>
        <w:t>36</w:t>
      </w:r>
    </w:p>
    <w:p w14:paraId="15028219" w14:textId="77777777" w:rsidR="00FE2287" w:rsidRPr="00E4528F" w:rsidRDefault="00FE2287">
      <w:pPr>
        <w:pStyle w:val="TOC21"/>
        <w:tabs>
          <w:tab w:val="right" w:leader="dot" w:pos="8640"/>
        </w:tabs>
        <w:spacing w:after="40"/>
        <w:ind w:left="360"/>
        <w:rPr>
          <w:rFonts w:cs="Times New Roman"/>
          <w:color w:val="000000" w:themeColor="text1"/>
        </w:rPr>
      </w:pPr>
      <w:hyperlink w:anchor="bm_s6_1" w:history="1">
        <w:r w:rsidRPr="00E4528F">
          <w:rPr>
            <w:rFonts w:cs="Times New Roman"/>
            <w:color w:val="000000" w:themeColor="text1"/>
          </w:rPr>
          <w:t>6.1 Interpretation against the literature</w:t>
        </w:r>
      </w:hyperlink>
      <w:r w:rsidRPr="00E4528F">
        <w:rPr>
          <w:rFonts w:cs="Times New Roman"/>
          <w:color w:val="000000" w:themeColor="text1"/>
        </w:rPr>
        <w:tab/>
        <w:t>36</w:t>
      </w:r>
    </w:p>
    <w:p w14:paraId="1C45C463" w14:textId="77777777" w:rsidR="00FE2287" w:rsidRPr="00E4528F" w:rsidRDefault="00FE2287">
      <w:pPr>
        <w:pStyle w:val="TOC21"/>
        <w:tabs>
          <w:tab w:val="right" w:leader="dot" w:pos="8640"/>
        </w:tabs>
        <w:spacing w:after="40"/>
        <w:ind w:left="360"/>
        <w:rPr>
          <w:rFonts w:cs="Times New Roman"/>
          <w:color w:val="000000" w:themeColor="text1"/>
        </w:rPr>
      </w:pPr>
      <w:hyperlink w:anchor="bm_s6_2" w:history="1">
        <w:r w:rsidRPr="00E4528F">
          <w:rPr>
            <w:rFonts w:cs="Times New Roman"/>
            <w:color w:val="000000" w:themeColor="text1"/>
          </w:rPr>
          <w:t>6.2 Answer to the research question</w:t>
        </w:r>
      </w:hyperlink>
      <w:r w:rsidRPr="00E4528F">
        <w:rPr>
          <w:rFonts w:cs="Times New Roman"/>
          <w:color w:val="000000" w:themeColor="text1"/>
        </w:rPr>
        <w:tab/>
        <w:t>36</w:t>
      </w:r>
    </w:p>
    <w:p w14:paraId="3B8BD27F" w14:textId="77777777" w:rsidR="00FE2287" w:rsidRPr="00E4528F" w:rsidRDefault="00FE2287">
      <w:pPr>
        <w:pStyle w:val="TOC21"/>
        <w:tabs>
          <w:tab w:val="right" w:leader="dot" w:pos="8640"/>
        </w:tabs>
        <w:spacing w:after="40"/>
        <w:ind w:left="360"/>
        <w:rPr>
          <w:rFonts w:cs="Times New Roman"/>
          <w:color w:val="000000" w:themeColor="text1"/>
        </w:rPr>
      </w:pPr>
      <w:hyperlink w:anchor="bm_s6_3" w:history="1">
        <w:r w:rsidRPr="00E4528F">
          <w:rPr>
            <w:rFonts w:cs="Times New Roman"/>
            <w:color w:val="000000" w:themeColor="text1"/>
          </w:rPr>
          <w:t>6.3 Ethics, fairness and governance</w:t>
        </w:r>
      </w:hyperlink>
      <w:r w:rsidRPr="00E4528F">
        <w:rPr>
          <w:rFonts w:cs="Times New Roman"/>
          <w:color w:val="000000" w:themeColor="text1"/>
        </w:rPr>
        <w:tab/>
        <w:t>37</w:t>
      </w:r>
    </w:p>
    <w:p w14:paraId="7E172561" w14:textId="77777777" w:rsidR="00FE2287" w:rsidRPr="00E4528F" w:rsidRDefault="00FE2287">
      <w:pPr>
        <w:pStyle w:val="TOC21"/>
        <w:tabs>
          <w:tab w:val="right" w:leader="dot" w:pos="8640"/>
        </w:tabs>
        <w:spacing w:after="40"/>
        <w:ind w:left="360"/>
        <w:rPr>
          <w:rFonts w:cs="Times New Roman"/>
          <w:color w:val="000000" w:themeColor="text1"/>
        </w:rPr>
      </w:pPr>
      <w:hyperlink w:anchor="bm_s6_4" w:history="1">
        <w:r w:rsidRPr="00E4528F">
          <w:rPr>
            <w:rFonts w:cs="Times New Roman"/>
            <w:color w:val="000000" w:themeColor="text1"/>
          </w:rPr>
          <w:t>6.4 Limitations and threats to validity</w:t>
        </w:r>
      </w:hyperlink>
      <w:r w:rsidRPr="00E4528F">
        <w:rPr>
          <w:rFonts w:cs="Times New Roman"/>
          <w:color w:val="000000" w:themeColor="text1"/>
        </w:rPr>
        <w:tab/>
        <w:t>38</w:t>
      </w:r>
    </w:p>
    <w:p w14:paraId="5901F2DF" w14:textId="77777777" w:rsidR="00FE2287" w:rsidRPr="00E4528F" w:rsidRDefault="00FE2287">
      <w:pPr>
        <w:pStyle w:val="TOC11"/>
        <w:tabs>
          <w:tab w:val="right" w:leader="dot" w:pos="8640"/>
        </w:tabs>
        <w:spacing w:after="40"/>
        <w:rPr>
          <w:rFonts w:cs="Times New Roman"/>
          <w:color w:val="000000" w:themeColor="text1"/>
        </w:rPr>
      </w:pPr>
      <w:hyperlink w:anchor="bm_ch7" w:history="1">
        <w:r w:rsidRPr="00E4528F">
          <w:rPr>
            <w:rFonts w:cs="Times New Roman"/>
            <w:color w:val="000000" w:themeColor="text1"/>
          </w:rPr>
          <w:t>Chapter 7: Conclusion and Future Work</w:t>
        </w:r>
      </w:hyperlink>
      <w:r w:rsidRPr="00E4528F">
        <w:rPr>
          <w:rFonts w:cs="Times New Roman"/>
          <w:color w:val="000000" w:themeColor="text1"/>
        </w:rPr>
        <w:tab/>
        <w:t>39</w:t>
      </w:r>
    </w:p>
    <w:p w14:paraId="3ACF3FC9" w14:textId="77777777" w:rsidR="00FE2287" w:rsidRPr="00E4528F" w:rsidRDefault="00FE2287">
      <w:pPr>
        <w:pStyle w:val="TOC21"/>
        <w:tabs>
          <w:tab w:val="right" w:leader="dot" w:pos="8640"/>
        </w:tabs>
        <w:spacing w:after="40"/>
        <w:ind w:left="360"/>
        <w:rPr>
          <w:rFonts w:cs="Times New Roman"/>
          <w:color w:val="000000" w:themeColor="text1"/>
        </w:rPr>
      </w:pPr>
      <w:hyperlink w:anchor="bm_s7_1" w:history="1">
        <w:r w:rsidRPr="00E4528F">
          <w:rPr>
            <w:rFonts w:cs="Times New Roman"/>
            <w:color w:val="000000" w:themeColor="text1"/>
          </w:rPr>
          <w:t>7.1 Conclusion</w:t>
        </w:r>
      </w:hyperlink>
      <w:r w:rsidRPr="00E4528F">
        <w:rPr>
          <w:rFonts w:cs="Times New Roman"/>
          <w:color w:val="000000" w:themeColor="text1"/>
        </w:rPr>
        <w:tab/>
        <w:t>39</w:t>
      </w:r>
    </w:p>
    <w:p w14:paraId="3BCED5A4" w14:textId="77777777" w:rsidR="00FE2287" w:rsidRPr="00E4528F" w:rsidRDefault="00FE2287">
      <w:pPr>
        <w:pStyle w:val="TOC21"/>
        <w:tabs>
          <w:tab w:val="right" w:leader="dot" w:pos="8640"/>
        </w:tabs>
        <w:spacing w:after="40"/>
        <w:ind w:left="360"/>
        <w:rPr>
          <w:rFonts w:cs="Times New Roman"/>
          <w:color w:val="000000" w:themeColor="text1"/>
        </w:rPr>
      </w:pPr>
      <w:hyperlink w:anchor="bm_s7_2" w:history="1">
        <w:r w:rsidRPr="00E4528F">
          <w:rPr>
            <w:rFonts w:cs="Times New Roman"/>
            <w:color w:val="000000" w:themeColor="text1"/>
          </w:rPr>
          <w:t>7.2 Contributions</w:t>
        </w:r>
      </w:hyperlink>
      <w:r w:rsidRPr="00E4528F">
        <w:rPr>
          <w:rFonts w:cs="Times New Roman"/>
          <w:color w:val="000000" w:themeColor="text1"/>
        </w:rPr>
        <w:tab/>
        <w:t>40</w:t>
      </w:r>
    </w:p>
    <w:p w14:paraId="08E6C355" w14:textId="77777777" w:rsidR="00FE2287" w:rsidRPr="00E4528F" w:rsidRDefault="00FE2287">
      <w:pPr>
        <w:pStyle w:val="TOC21"/>
        <w:tabs>
          <w:tab w:val="right" w:leader="dot" w:pos="8640"/>
        </w:tabs>
        <w:spacing w:after="40"/>
        <w:ind w:left="360"/>
        <w:rPr>
          <w:rFonts w:cs="Times New Roman"/>
          <w:color w:val="000000" w:themeColor="text1"/>
        </w:rPr>
      </w:pPr>
      <w:hyperlink w:anchor="bm_s7_3" w:history="1">
        <w:r w:rsidRPr="00E4528F">
          <w:rPr>
            <w:rFonts w:cs="Times New Roman"/>
            <w:color w:val="000000" w:themeColor="text1"/>
          </w:rPr>
          <w:t>7.3 Future work</w:t>
        </w:r>
      </w:hyperlink>
      <w:r w:rsidRPr="00E4528F">
        <w:rPr>
          <w:rFonts w:cs="Times New Roman"/>
          <w:color w:val="000000" w:themeColor="text1"/>
        </w:rPr>
        <w:tab/>
        <w:t>40</w:t>
      </w:r>
    </w:p>
    <w:p w14:paraId="17E043B0" w14:textId="77777777" w:rsidR="00FE2287" w:rsidRPr="00E4528F" w:rsidRDefault="00FE2287">
      <w:pPr>
        <w:pStyle w:val="TOC11"/>
        <w:tabs>
          <w:tab w:val="right" w:leader="dot" w:pos="8640"/>
        </w:tabs>
        <w:spacing w:after="40"/>
        <w:rPr>
          <w:rFonts w:cs="Times New Roman"/>
          <w:color w:val="000000" w:themeColor="text1"/>
        </w:rPr>
      </w:pPr>
      <w:hyperlink w:anchor="bm_references" w:history="1">
        <w:r w:rsidRPr="00E4528F">
          <w:rPr>
            <w:rFonts w:cs="Times New Roman"/>
            <w:color w:val="000000" w:themeColor="text1"/>
          </w:rPr>
          <w:t>References</w:t>
        </w:r>
      </w:hyperlink>
      <w:r w:rsidRPr="00E4528F">
        <w:rPr>
          <w:rFonts w:cs="Times New Roman"/>
          <w:color w:val="000000" w:themeColor="text1"/>
        </w:rPr>
        <w:tab/>
        <w:t>43</w:t>
      </w:r>
    </w:p>
    <w:p w14:paraId="11916612" w14:textId="77777777" w:rsidR="00FE2287" w:rsidRPr="00E4528F" w:rsidRDefault="00FE2287">
      <w:pPr>
        <w:pStyle w:val="TOC11"/>
        <w:tabs>
          <w:tab w:val="right" w:leader="dot" w:pos="8640"/>
        </w:tabs>
        <w:spacing w:after="40"/>
        <w:rPr>
          <w:rFonts w:cs="Times New Roman"/>
          <w:color w:val="000000" w:themeColor="text1"/>
        </w:rPr>
      </w:pPr>
      <w:hyperlink w:anchor="bm_app_a" w:history="1">
        <w:r w:rsidRPr="00E4528F">
          <w:rPr>
            <w:rFonts w:cs="Times New Roman"/>
            <w:color w:val="000000" w:themeColor="text1"/>
          </w:rPr>
          <w:t>Appendix A: Traceability Matrix</w:t>
        </w:r>
      </w:hyperlink>
      <w:r w:rsidRPr="00E4528F">
        <w:rPr>
          <w:rFonts w:cs="Times New Roman"/>
          <w:color w:val="000000" w:themeColor="text1"/>
        </w:rPr>
        <w:tab/>
        <w:t>46</w:t>
      </w:r>
    </w:p>
    <w:p w14:paraId="12057DAF" w14:textId="77777777" w:rsidR="00FE2287" w:rsidRPr="00E4528F" w:rsidRDefault="00FE2287">
      <w:pPr>
        <w:pStyle w:val="TOC11"/>
        <w:tabs>
          <w:tab w:val="right" w:leader="dot" w:pos="8640"/>
        </w:tabs>
        <w:spacing w:after="40"/>
        <w:rPr>
          <w:rFonts w:cs="Times New Roman"/>
          <w:color w:val="000000" w:themeColor="text1"/>
        </w:rPr>
      </w:pPr>
      <w:hyperlink w:anchor="bm_app_b" w:history="1">
        <w:r w:rsidRPr="00E4528F">
          <w:rPr>
            <w:rFonts w:cs="Times New Roman"/>
            <w:color w:val="000000" w:themeColor="text1"/>
          </w:rPr>
          <w:t>Appendix B: Reproducibility Record</w:t>
        </w:r>
      </w:hyperlink>
      <w:r w:rsidRPr="00E4528F">
        <w:rPr>
          <w:rFonts w:cs="Times New Roman"/>
          <w:color w:val="000000" w:themeColor="text1"/>
        </w:rPr>
        <w:tab/>
        <w:t>47</w:t>
      </w:r>
    </w:p>
    <w:p w14:paraId="77B35E70" w14:textId="77777777" w:rsidR="00FE2287" w:rsidRPr="00E4528F" w:rsidRDefault="00FE2287">
      <w:pPr>
        <w:pStyle w:val="TOC11"/>
        <w:tabs>
          <w:tab w:val="right" w:leader="dot" w:pos="8640"/>
        </w:tabs>
        <w:spacing w:after="40"/>
        <w:rPr>
          <w:rFonts w:cs="Times New Roman"/>
          <w:color w:val="000000" w:themeColor="text1"/>
        </w:rPr>
      </w:pPr>
      <w:hyperlink w:anchor="bm_app_c" w:history="1">
        <w:r w:rsidRPr="00E4528F">
          <w:rPr>
            <w:rFonts w:cs="Times New Roman"/>
            <w:color w:val="000000" w:themeColor="text1"/>
          </w:rPr>
          <w:t>Appendix C: Operational and Ethical Boundaries</w:t>
        </w:r>
      </w:hyperlink>
      <w:r w:rsidRPr="00E4528F">
        <w:rPr>
          <w:rFonts w:cs="Times New Roman"/>
          <w:color w:val="000000" w:themeColor="text1"/>
        </w:rPr>
        <w:tab/>
        <w:t>48</w:t>
      </w:r>
    </w:p>
    <w:p w14:paraId="373AF3E9" w14:textId="77777777" w:rsidR="00FE2287" w:rsidRPr="00E4528F" w:rsidRDefault="00FE2287">
      <w:pPr>
        <w:pStyle w:val="TOC11"/>
        <w:tabs>
          <w:tab w:val="right" w:leader="dot" w:pos="8640"/>
        </w:tabs>
        <w:spacing w:after="40"/>
        <w:rPr>
          <w:rFonts w:cs="Times New Roman"/>
          <w:color w:val="000000" w:themeColor="text1"/>
        </w:rPr>
      </w:pPr>
      <w:hyperlink w:anchor="bm_app_d" w:history="1">
        <w:r w:rsidRPr="00E4528F">
          <w:rPr>
            <w:rFonts w:cs="Times New Roman"/>
            <w:color w:val="000000" w:themeColor="text1"/>
          </w:rPr>
          <w:t>Appendix D: Advanced Model Audit</w:t>
        </w:r>
      </w:hyperlink>
      <w:r w:rsidRPr="00E4528F">
        <w:rPr>
          <w:rFonts w:cs="Times New Roman"/>
          <w:color w:val="000000" w:themeColor="text1"/>
        </w:rPr>
        <w:tab/>
        <w:t>49</w:t>
      </w:r>
    </w:p>
    <w:p w14:paraId="6BAC09D5" w14:textId="77777777" w:rsidR="00FE2287" w:rsidRPr="00E4528F" w:rsidRDefault="00000000">
      <w:pPr>
        <w:pStyle w:val="Heading1"/>
        <w:pageBreakBefore/>
        <w:rPr>
          <w:rFonts w:ascii="Times New Roman" w:hAnsi="Times New Roman" w:cs="Times New Roman"/>
          <w:color w:val="000000" w:themeColor="text1"/>
        </w:rPr>
      </w:pPr>
      <w:bookmarkStart w:id="3" w:name="bm_list_tables"/>
      <w:r w:rsidRPr="00E4528F">
        <w:rPr>
          <w:rFonts w:ascii="Times New Roman" w:hAnsi="Times New Roman" w:cs="Times New Roman"/>
          <w:color w:val="000000" w:themeColor="text1"/>
        </w:rPr>
        <w:lastRenderedPageBreak/>
        <w:t>List of Tables</w:t>
      </w:r>
      <w:bookmarkEnd w:id="3"/>
    </w:p>
    <w:p w14:paraId="42022890" w14:textId="77777777" w:rsidR="00FE2287" w:rsidRPr="00E4528F" w:rsidRDefault="00FE2287">
      <w:pPr>
        <w:pStyle w:val="TOC11"/>
        <w:tabs>
          <w:tab w:val="right" w:leader="dot" w:pos="8640"/>
        </w:tabs>
        <w:spacing w:after="40"/>
        <w:rPr>
          <w:rFonts w:cs="Times New Roman"/>
          <w:color w:val="000000" w:themeColor="text1"/>
        </w:rPr>
      </w:pPr>
      <w:hyperlink w:anchor="bm_tab_lit" w:history="1">
        <w:r w:rsidRPr="00E4528F">
          <w:rPr>
            <w:rFonts w:cs="Times New Roman"/>
            <w:color w:val="000000" w:themeColor="text1"/>
          </w:rPr>
          <w:t>Table 2.1. Critical comparison of representative literature</w:t>
        </w:r>
      </w:hyperlink>
      <w:r w:rsidRPr="00E4528F">
        <w:rPr>
          <w:rFonts w:cs="Times New Roman"/>
          <w:color w:val="000000" w:themeColor="text1"/>
        </w:rPr>
        <w:tab/>
        <w:t>12</w:t>
      </w:r>
    </w:p>
    <w:p w14:paraId="67DB03A3" w14:textId="77777777" w:rsidR="00FE2287" w:rsidRPr="00E4528F" w:rsidRDefault="00FE2287">
      <w:pPr>
        <w:pStyle w:val="TOC11"/>
        <w:tabs>
          <w:tab w:val="right" w:leader="dot" w:pos="8640"/>
        </w:tabs>
        <w:spacing w:after="40"/>
        <w:rPr>
          <w:rFonts w:cs="Times New Roman"/>
          <w:color w:val="000000" w:themeColor="text1"/>
        </w:rPr>
      </w:pPr>
      <w:hyperlink w:anchor="bm_tab_req" w:history="1">
        <w:r w:rsidRPr="00E4528F">
          <w:rPr>
            <w:rFonts w:cs="Times New Roman"/>
            <w:color w:val="000000" w:themeColor="text1"/>
          </w:rPr>
          <w:t>Table 3.1. Design requirements and verification approach</w:t>
        </w:r>
      </w:hyperlink>
      <w:r w:rsidRPr="00E4528F">
        <w:rPr>
          <w:rFonts w:cs="Times New Roman"/>
          <w:color w:val="000000" w:themeColor="text1"/>
        </w:rPr>
        <w:tab/>
        <w:t>15</w:t>
      </w:r>
    </w:p>
    <w:p w14:paraId="5827708F" w14:textId="77777777" w:rsidR="00FE2287" w:rsidRPr="00E4528F" w:rsidRDefault="00FE2287">
      <w:pPr>
        <w:pStyle w:val="TOC11"/>
        <w:tabs>
          <w:tab w:val="right" w:leader="dot" w:pos="8640"/>
        </w:tabs>
        <w:spacing w:after="40"/>
        <w:rPr>
          <w:rFonts w:cs="Times New Roman"/>
          <w:color w:val="000000" w:themeColor="text1"/>
        </w:rPr>
      </w:pPr>
      <w:hyperlink w:anchor="bm_tab_threat" w:history="1">
        <w:r w:rsidRPr="00E4528F">
          <w:rPr>
            <w:rFonts w:cs="Times New Roman"/>
            <w:color w:val="000000" w:themeColor="text1"/>
          </w:rPr>
          <w:t>Table 3.2. Threats, controls and residual risks</w:t>
        </w:r>
      </w:hyperlink>
      <w:r w:rsidRPr="00E4528F">
        <w:rPr>
          <w:rFonts w:cs="Times New Roman"/>
          <w:color w:val="000000" w:themeColor="text1"/>
        </w:rPr>
        <w:tab/>
        <w:t>16</w:t>
      </w:r>
    </w:p>
    <w:p w14:paraId="7C1610D0" w14:textId="77777777" w:rsidR="00FE2287" w:rsidRPr="00E4528F" w:rsidRDefault="00FE2287">
      <w:pPr>
        <w:pStyle w:val="TOC11"/>
        <w:tabs>
          <w:tab w:val="right" w:leader="dot" w:pos="8640"/>
        </w:tabs>
        <w:spacing w:after="40"/>
        <w:rPr>
          <w:rFonts w:cs="Times New Roman"/>
          <w:color w:val="000000" w:themeColor="text1"/>
        </w:rPr>
      </w:pPr>
      <w:hyperlink w:anchor="bm_tab_eval" w:history="1">
        <w:r w:rsidRPr="00E4528F">
          <w:rPr>
            <w:rFonts w:cs="Times New Roman"/>
            <w:color w:val="000000" w:themeColor="text1"/>
          </w:rPr>
          <w:t>Table 3.3. Evaluation questions, measures and evidence</w:t>
        </w:r>
      </w:hyperlink>
      <w:r w:rsidRPr="00E4528F">
        <w:rPr>
          <w:rFonts w:cs="Times New Roman"/>
          <w:color w:val="000000" w:themeColor="text1"/>
        </w:rPr>
        <w:tab/>
        <w:t>23</w:t>
      </w:r>
    </w:p>
    <w:p w14:paraId="758FE6DB" w14:textId="77777777" w:rsidR="00FE2287" w:rsidRPr="00E4528F" w:rsidRDefault="00FE2287">
      <w:pPr>
        <w:pStyle w:val="TOC11"/>
        <w:tabs>
          <w:tab w:val="right" w:leader="dot" w:pos="8640"/>
        </w:tabs>
        <w:spacing w:after="40"/>
        <w:rPr>
          <w:rFonts w:cs="Times New Roman"/>
          <w:color w:val="000000" w:themeColor="text1"/>
        </w:rPr>
      </w:pPr>
      <w:hyperlink w:anchor="bm_tab_tests" w:history="1">
        <w:r w:rsidRPr="00E4528F">
          <w:rPr>
            <w:rFonts w:cs="Times New Roman"/>
            <w:color w:val="000000" w:themeColor="text1"/>
          </w:rPr>
          <w:t>Table 4.1. Executed software verification evidence</w:t>
        </w:r>
      </w:hyperlink>
      <w:r w:rsidRPr="00E4528F">
        <w:rPr>
          <w:rFonts w:cs="Times New Roman"/>
          <w:color w:val="000000" w:themeColor="text1"/>
        </w:rPr>
        <w:tab/>
        <w:t>28</w:t>
      </w:r>
    </w:p>
    <w:p w14:paraId="2C9863F5" w14:textId="77777777" w:rsidR="00FE2287" w:rsidRPr="00E4528F" w:rsidRDefault="00FE2287">
      <w:pPr>
        <w:pStyle w:val="TOC11"/>
        <w:tabs>
          <w:tab w:val="right" w:leader="dot" w:pos="8640"/>
        </w:tabs>
        <w:spacing w:after="40"/>
        <w:rPr>
          <w:rFonts w:cs="Times New Roman"/>
          <w:color w:val="000000" w:themeColor="text1"/>
        </w:rPr>
      </w:pPr>
      <w:hyperlink w:anchor="bm_tab_data" w:history="1">
        <w:r w:rsidRPr="00E4528F">
          <w:rPr>
            <w:rFonts w:cs="Times New Roman"/>
            <w:color w:val="000000" w:themeColor="text1"/>
          </w:rPr>
          <w:t>Table 5.1. Dataset composition and chronological split</w:t>
        </w:r>
      </w:hyperlink>
      <w:r w:rsidRPr="00E4528F">
        <w:rPr>
          <w:rFonts w:cs="Times New Roman"/>
          <w:color w:val="000000" w:themeColor="text1"/>
        </w:rPr>
        <w:tab/>
        <w:t>29</w:t>
      </w:r>
    </w:p>
    <w:p w14:paraId="6D3F8658" w14:textId="77777777" w:rsidR="00FE2287" w:rsidRPr="00E4528F" w:rsidRDefault="00FE2287">
      <w:pPr>
        <w:pStyle w:val="TOC11"/>
        <w:tabs>
          <w:tab w:val="right" w:leader="dot" w:pos="8640"/>
        </w:tabs>
        <w:spacing w:after="40"/>
        <w:rPr>
          <w:rFonts w:cs="Times New Roman"/>
          <w:color w:val="000000" w:themeColor="text1"/>
        </w:rPr>
      </w:pPr>
      <w:hyperlink w:anchor="bm_tab_metrics" w:history="1">
        <w:r w:rsidRPr="00E4528F">
          <w:rPr>
            <w:rFonts w:cs="Times New Roman"/>
            <w:color w:val="000000" w:themeColor="text1"/>
          </w:rPr>
          <w:t>Table 5.2. Held-out predictive performance</w:t>
        </w:r>
      </w:hyperlink>
      <w:r w:rsidRPr="00E4528F">
        <w:rPr>
          <w:rFonts w:cs="Times New Roman"/>
          <w:color w:val="000000" w:themeColor="text1"/>
        </w:rPr>
        <w:tab/>
        <w:t>29</w:t>
      </w:r>
    </w:p>
    <w:p w14:paraId="3911BDBA" w14:textId="77777777" w:rsidR="00FE2287" w:rsidRPr="00E4528F" w:rsidRDefault="00FE2287">
      <w:pPr>
        <w:pStyle w:val="TOC11"/>
        <w:tabs>
          <w:tab w:val="right" w:leader="dot" w:pos="8640"/>
        </w:tabs>
        <w:spacing w:after="40"/>
        <w:rPr>
          <w:rFonts w:cs="Times New Roman"/>
          <w:color w:val="000000" w:themeColor="text1"/>
        </w:rPr>
      </w:pPr>
      <w:hyperlink w:anchor="bm_tab_bootstrap" w:history="1">
        <w:r w:rsidRPr="00E4528F">
          <w:rPr>
            <w:rFonts w:cs="Times New Roman"/>
            <w:color w:val="000000" w:themeColor="text1"/>
          </w:rPr>
          <w:t>Table 5.3. Paired-bootstrap uncertainty</w:t>
        </w:r>
      </w:hyperlink>
      <w:r w:rsidRPr="00E4528F">
        <w:rPr>
          <w:rFonts w:cs="Times New Roman"/>
          <w:color w:val="000000" w:themeColor="text1"/>
        </w:rPr>
        <w:tab/>
        <w:t>30</w:t>
      </w:r>
    </w:p>
    <w:p w14:paraId="78A867A7" w14:textId="77777777" w:rsidR="00FE2287" w:rsidRPr="00E4528F" w:rsidRDefault="00FE2287">
      <w:pPr>
        <w:pStyle w:val="TOC11"/>
        <w:tabs>
          <w:tab w:val="right" w:leader="dot" w:pos="8640"/>
        </w:tabs>
        <w:spacing w:after="40"/>
        <w:rPr>
          <w:rFonts w:cs="Times New Roman"/>
          <w:color w:val="000000" w:themeColor="text1"/>
        </w:rPr>
      </w:pPr>
      <w:hyperlink w:anchor="bm_tab_search" w:history="1">
        <w:r w:rsidRPr="00E4528F">
          <w:rPr>
            <w:rFonts w:cs="Times New Roman"/>
            <w:color w:val="000000" w:themeColor="text1"/>
          </w:rPr>
          <w:t>Table 5.4. Randomised-search result</w:t>
        </w:r>
      </w:hyperlink>
      <w:r w:rsidRPr="00E4528F">
        <w:rPr>
          <w:rFonts w:cs="Times New Roman"/>
          <w:color w:val="000000" w:themeColor="text1"/>
        </w:rPr>
        <w:tab/>
        <w:t>31</w:t>
      </w:r>
    </w:p>
    <w:p w14:paraId="6F9D5EC3" w14:textId="77777777" w:rsidR="00FE2287" w:rsidRPr="00E4528F" w:rsidRDefault="00FE2287">
      <w:pPr>
        <w:pStyle w:val="TOC11"/>
        <w:tabs>
          <w:tab w:val="right" w:leader="dot" w:pos="8640"/>
        </w:tabs>
        <w:spacing w:after="40"/>
        <w:rPr>
          <w:rFonts w:cs="Times New Roman"/>
          <w:color w:val="000000" w:themeColor="text1"/>
        </w:rPr>
      </w:pPr>
      <w:hyperlink w:anchor="bm_tab_signal" w:history="1">
        <w:r w:rsidRPr="00E4528F">
          <w:rPr>
            <w:rFonts w:cs="Times New Roman"/>
            <w:color w:val="000000" w:themeColor="text1"/>
          </w:rPr>
          <w:t>Table 5.5. Label-permutation and mutual-information diagnostics</w:t>
        </w:r>
      </w:hyperlink>
      <w:r w:rsidRPr="00E4528F">
        <w:rPr>
          <w:rFonts w:cs="Times New Roman"/>
          <w:color w:val="000000" w:themeColor="text1"/>
        </w:rPr>
        <w:tab/>
        <w:t>32</w:t>
      </w:r>
    </w:p>
    <w:p w14:paraId="03494AAA" w14:textId="77777777" w:rsidR="00FE2287" w:rsidRPr="00E4528F" w:rsidRDefault="00FE2287">
      <w:pPr>
        <w:pStyle w:val="TOC11"/>
        <w:tabs>
          <w:tab w:val="right" w:leader="dot" w:pos="8640"/>
        </w:tabs>
        <w:spacing w:after="40"/>
        <w:rPr>
          <w:rFonts w:cs="Times New Roman"/>
          <w:color w:val="000000" w:themeColor="text1"/>
        </w:rPr>
      </w:pPr>
      <w:hyperlink w:anchor="bm_tab_fairness" w:history="1">
        <w:r w:rsidRPr="00E4528F">
          <w:rPr>
            <w:rFonts w:cs="Times New Roman"/>
            <w:color w:val="000000" w:themeColor="text1"/>
          </w:rPr>
          <w:t>Table 5.6. Selected country-level error rates</w:t>
        </w:r>
      </w:hyperlink>
      <w:r w:rsidRPr="00E4528F">
        <w:rPr>
          <w:rFonts w:cs="Times New Roman"/>
          <w:color w:val="000000" w:themeColor="text1"/>
        </w:rPr>
        <w:tab/>
        <w:t>33</w:t>
      </w:r>
    </w:p>
    <w:p w14:paraId="2DC21DEC" w14:textId="77777777" w:rsidR="00FE2287" w:rsidRPr="00E4528F" w:rsidRDefault="00FE2287">
      <w:pPr>
        <w:pStyle w:val="TOC11"/>
        <w:tabs>
          <w:tab w:val="right" w:leader="dot" w:pos="8640"/>
        </w:tabs>
        <w:spacing w:after="40"/>
        <w:rPr>
          <w:rFonts w:cs="Times New Roman"/>
          <w:color w:val="000000" w:themeColor="text1"/>
        </w:rPr>
      </w:pPr>
      <w:hyperlink w:anchor="bm_tab_calibration" w:history="1">
        <w:r w:rsidRPr="00E4528F">
          <w:rPr>
            <w:rFonts w:cs="Times New Roman"/>
            <w:color w:val="000000" w:themeColor="text1"/>
          </w:rPr>
          <w:t>Table 5.7. Brier-score decomposition</w:t>
        </w:r>
      </w:hyperlink>
      <w:r w:rsidRPr="00E4528F">
        <w:rPr>
          <w:rFonts w:cs="Times New Roman"/>
          <w:color w:val="000000" w:themeColor="text1"/>
        </w:rPr>
        <w:tab/>
        <w:t>34</w:t>
      </w:r>
    </w:p>
    <w:p w14:paraId="0B02A920" w14:textId="77777777" w:rsidR="00FE2287" w:rsidRPr="00E4528F" w:rsidRDefault="00FE2287">
      <w:pPr>
        <w:pStyle w:val="TOC11"/>
        <w:tabs>
          <w:tab w:val="right" w:leader="dot" w:pos="8640"/>
        </w:tabs>
        <w:spacing w:after="40"/>
        <w:rPr>
          <w:rFonts w:cs="Times New Roman"/>
          <w:color w:val="000000" w:themeColor="text1"/>
        </w:rPr>
      </w:pPr>
      <w:hyperlink w:anchor="bm_tab_objectives" w:history="1">
        <w:r w:rsidRPr="00E4528F">
          <w:rPr>
            <w:rFonts w:cs="Times New Roman"/>
            <w:color w:val="000000" w:themeColor="text1"/>
          </w:rPr>
          <w:t>Table 6.1. Research-objective assessment</w:t>
        </w:r>
      </w:hyperlink>
      <w:r w:rsidRPr="00E4528F">
        <w:rPr>
          <w:rFonts w:cs="Times New Roman"/>
          <w:color w:val="000000" w:themeColor="text1"/>
        </w:rPr>
        <w:tab/>
        <w:t>36</w:t>
      </w:r>
    </w:p>
    <w:p w14:paraId="001EF88F" w14:textId="77777777" w:rsidR="00FE2287" w:rsidRPr="00E4528F" w:rsidRDefault="00FE2287">
      <w:pPr>
        <w:pStyle w:val="TOC11"/>
        <w:tabs>
          <w:tab w:val="right" w:leader="dot" w:pos="8640"/>
        </w:tabs>
        <w:spacing w:after="40"/>
        <w:rPr>
          <w:rFonts w:cs="Times New Roman"/>
          <w:color w:val="000000" w:themeColor="text1"/>
        </w:rPr>
      </w:pPr>
      <w:hyperlink w:anchor="bm_tab_trace" w:history="1">
        <w:r w:rsidRPr="00E4528F">
          <w:rPr>
            <w:rFonts w:cs="Times New Roman"/>
            <w:color w:val="000000" w:themeColor="text1"/>
          </w:rPr>
          <w:t>Table A.1. Requirement-to-evidence traceability</w:t>
        </w:r>
      </w:hyperlink>
      <w:r w:rsidRPr="00E4528F">
        <w:rPr>
          <w:rFonts w:cs="Times New Roman"/>
          <w:color w:val="000000" w:themeColor="text1"/>
        </w:rPr>
        <w:tab/>
        <w:t>46</w:t>
      </w:r>
    </w:p>
    <w:p w14:paraId="3F3247D0" w14:textId="77777777" w:rsidR="00FE2287" w:rsidRPr="00E4528F" w:rsidRDefault="00FE2287">
      <w:pPr>
        <w:pStyle w:val="TOC11"/>
        <w:tabs>
          <w:tab w:val="right" w:leader="dot" w:pos="8640"/>
        </w:tabs>
        <w:spacing w:after="40"/>
        <w:rPr>
          <w:rFonts w:cs="Times New Roman"/>
          <w:color w:val="000000" w:themeColor="text1"/>
        </w:rPr>
      </w:pPr>
      <w:hyperlink w:anchor="bm_tab_repro" w:history="1">
        <w:r w:rsidRPr="00E4528F">
          <w:rPr>
            <w:rFonts w:cs="Times New Roman"/>
            <w:color w:val="000000" w:themeColor="text1"/>
          </w:rPr>
          <w:t>Table B.1. Reproducibility record</w:t>
        </w:r>
      </w:hyperlink>
      <w:r w:rsidRPr="00E4528F">
        <w:rPr>
          <w:rFonts w:cs="Times New Roman"/>
          <w:color w:val="000000" w:themeColor="text1"/>
        </w:rPr>
        <w:tab/>
        <w:t>47</w:t>
      </w:r>
    </w:p>
    <w:p w14:paraId="06F9C372" w14:textId="77777777" w:rsidR="00FE2287" w:rsidRPr="00E4528F" w:rsidRDefault="00FE2287">
      <w:pPr>
        <w:pStyle w:val="TOC11"/>
        <w:tabs>
          <w:tab w:val="right" w:leader="dot" w:pos="8640"/>
        </w:tabs>
        <w:spacing w:after="40"/>
        <w:rPr>
          <w:rFonts w:cs="Times New Roman"/>
          <w:color w:val="000000" w:themeColor="text1"/>
        </w:rPr>
      </w:pPr>
      <w:hyperlink w:anchor="bm_tab_boundaries" w:history="1">
        <w:r w:rsidRPr="00E4528F">
          <w:rPr>
            <w:rFonts w:cs="Times New Roman"/>
            <w:color w:val="000000" w:themeColor="text1"/>
          </w:rPr>
          <w:t>Table C.1. Permitted and prohibited deployment uses</w:t>
        </w:r>
      </w:hyperlink>
      <w:r w:rsidRPr="00E4528F">
        <w:rPr>
          <w:rFonts w:cs="Times New Roman"/>
          <w:color w:val="000000" w:themeColor="text1"/>
        </w:rPr>
        <w:tab/>
        <w:t>48</w:t>
      </w:r>
    </w:p>
    <w:p w14:paraId="36CB95DA" w14:textId="77777777" w:rsidR="00FE2287" w:rsidRPr="00E4528F" w:rsidRDefault="00FE2287">
      <w:pPr>
        <w:pStyle w:val="TOC11"/>
        <w:tabs>
          <w:tab w:val="right" w:leader="dot" w:pos="8640"/>
        </w:tabs>
        <w:spacing w:after="40"/>
        <w:rPr>
          <w:rFonts w:cs="Times New Roman"/>
          <w:color w:val="000000" w:themeColor="text1"/>
        </w:rPr>
      </w:pPr>
      <w:hyperlink w:anchor="bm_tab_country_full" w:history="1">
        <w:r w:rsidRPr="00E4528F">
          <w:rPr>
            <w:rFonts w:cs="Times New Roman"/>
            <w:color w:val="000000" w:themeColor="text1"/>
          </w:rPr>
          <w:t>Table D.1. Full country-level audit</w:t>
        </w:r>
      </w:hyperlink>
      <w:r w:rsidRPr="00E4528F">
        <w:rPr>
          <w:rFonts w:cs="Times New Roman"/>
          <w:color w:val="000000" w:themeColor="text1"/>
        </w:rPr>
        <w:tab/>
        <w:t>49</w:t>
      </w:r>
    </w:p>
    <w:p w14:paraId="3B4090D5" w14:textId="77777777" w:rsidR="00FE2287" w:rsidRPr="00E4528F" w:rsidRDefault="00FE2287">
      <w:pPr>
        <w:pStyle w:val="TOC11"/>
        <w:tabs>
          <w:tab w:val="right" w:leader="dot" w:pos="8640"/>
        </w:tabs>
        <w:spacing w:after="40"/>
        <w:rPr>
          <w:rFonts w:cs="Times New Roman"/>
          <w:color w:val="000000" w:themeColor="text1"/>
        </w:rPr>
      </w:pPr>
      <w:hyperlink w:anchor="bm_tab_advanced_repro" w:history="1">
        <w:r w:rsidRPr="00E4528F">
          <w:rPr>
            <w:rFonts w:cs="Times New Roman"/>
            <w:color w:val="000000" w:themeColor="text1"/>
          </w:rPr>
          <w:t>Table D.2. Advanced-analysis reproducibility record</w:t>
        </w:r>
      </w:hyperlink>
      <w:r w:rsidRPr="00E4528F">
        <w:rPr>
          <w:rFonts w:cs="Times New Roman"/>
          <w:color w:val="000000" w:themeColor="text1"/>
        </w:rPr>
        <w:tab/>
        <w:t>49</w:t>
      </w:r>
    </w:p>
    <w:p w14:paraId="3700FD8B" w14:textId="77777777" w:rsidR="00FE2287" w:rsidRPr="00E4528F" w:rsidRDefault="00000000">
      <w:pPr>
        <w:pStyle w:val="Heading1"/>
        <w:pageBreakBefore/>
        <w:rPr>
          <w:rFonts w:ascii="Times New Roman" w:hAnsi="Times New Roman" w:cs="Times New Roman"/>
          <w:color w:val="000000" w:themeColor="text1"/>
        </w:rPr>
      </w:pPr>
      <w:bookmarkStart w:id="4" w:name="bm_list_figures"/>
      <w:r w:rsidRPr="00E4528F">
        <w:rPr>
          <w:rFonts w:ascii="Times New Roman" w:hAnsi="Times New Roman" w:cs="Times New Roman"/>
          <w:color w:val="000000" w:themeColor="text1"/>
        </w:rPr>
        <w:lastRenderedPageBreak/>
        <w:t>List of Figures</w:t>
      </w:r>
      <w:bookmarkEnd w:id="4"/>
    </w:p>
    <w:p w14:paraId="3C0B7FE2" w14:textId="77777777" w:rsidR="00FE2287" w:rsidRPr="00E4528F" w:rsidRDefault="00FE2287">
      <w:pPr>
        <w:pStyle w:val="TOC11"/>
        <w:tabs>
          <w:tab w:val="right" w:leader="dot" w:pos="8640"/>
        </w:tabs>
        <w:spacing w:after="40"/>
        <w:rPr>
          <w:rFonts w:cs="Times New Roman"/>
          <w:color w:val="000000" w:themeColor="text1"/>
        </w:rPr>
      </w:pPr>
      <w:hyperlink w:anchor="bm_fig_arch" w:history="1">
        <w:r w:rsidRPr="00E4528F">
          <w:rPr>
            <w:rFonts w:cs="Times New Roman"/>
            <w:color w:val="000000" w:themeColor="text1"/>
          </w:rPr>
          <w:t>Figure 3.1. Implemented architecture and trust boundaries</w:t>
        </w:r>
      </w:hyperlink>
      <w:r w:rsidRPr="00E4528F">
        <w:rPr>
          <w:rFonts w:cs="Times New Roman"/>
          <w:color w:val="000000" w:themeColor="text1"/>
        </w:rPr>
        <w:tab/>
        <w:t>17</w:t>
      </w:r>
    </w:p>
    <w:p w14:paraId="2035D865" w14:textId="77777777" w:rsidR="00FE2287" w:rsidRPr="00E4528F" w:rsidRDefault="00FE2287">
      <w:pPr>
        <w:pStyle w:val="TOC11"/>
        <w:tabs>
          <w:tab w:val="right" w:leader="dot" w:pos="8640"/>
        </w:tabs>
        <w:spacing w:after="40"/>
        <w:rPr>
          <w:rFonts w:cs="Times New Roman"/>
          <w:color w:val="000000" w:themeColor="text1"/>
        </w:rPr>
      </w:pPr>
      <w:hyperlink w:anchor="bm_fig_replay" w:history="1">
        <w:r w:rsidRPr="00E4528F">
          <w:rPr>
            <w:rFonts w:cs="Times New Roman"/>
            <w:color w:val="000000" w:themeColor="text1"/>
          </w:rPr>
          <w:t>Figure 3.2. Replay and commit boundaries</w:t>
        </w:r>
      </w:hyperlink>
      <w:r w:rsidRPr="00E4528F">
        <w:rPr>
          <w:rFonts w:cs="Times New Roman"/>
          <w:color w:val="000000" w:themeColor="text1"/>
        </w:rPr>
        <w:tab/>
        <w:t>20</w:t>
      </w:r>
    </w:p>
    <w:p w14:paraId="4CBB659F" w14:textId="77777777" w:rsidR="00FE2287" w:rsidRPr="00E4528F" w:rsidRDefault="00FE2287">
      <w:pPr>
        <w:pStyle w:val="TOC11"/>
        <w:tabs>
          <w:tab w:val="right" w:leader="dot" w:pos="8640"/>
        </w:tabs>
        <w:spacing w:after="40"/>
        <w:rPr>
          <w:rFonts w:cs="Times New Roman"/>
          <w:color w:val="000000" w:themeColor="text1"/>
        </w:rPr>
      </w:pPr>
      <w:hyperlink w:anchor="bm_fig_eval" w:history="1">
        <w:r w:rsidRPr="00E4528F">
          <w:rPr>
            <w:rFonts w:cs="Times New Roman"/>
            <w:color w:val="000000" w:themeColor="text1"/>
          </w:rPr>
          <w:t>Figure 3.3. Chronological model-evaluation pipeline</w:t>
        </w:r>
      </w:hyperlink>
      <w:r w:rsidRPr="00E4528F">
        <w:rPr>
          <w:rFonts w:cs="Times New Roman"/>
          <w:color w:val="000000" w:themeColor="text1"/>
        </w:rPr>
        <w:tab/>
        <w:t>22</w:t>
      </w:r>
    </w:p>
    <w:p w14:paraId="4C3650D0" w14:textId="77777777" w:rsidR="00FE2287" w:rsidRPr="00E4528F" w:rsidRDefault="00FE2287">
      <w:pPr>
        <w:pStyle w:val="TOC11"/>
        <w:tabs>
          <w:tab w:val="right" w:leader="dot" w:pos="8640"/>
        </w:tabs>
        <w:spacing w:after="40"/>
        <w:rPr>
          <w:rFonts w:cs="Times New Roman"/>
          <w:color w:val="000000" w:themeColor="text1"/>
        </w:rPr>
      </w:pPr>
      <w:hyperlink w:anchor="bm_fig_shap" w:history="1">
        <w:r w:rsidRPr="00E4528F">
          <w:rPr>
            <w:rFonts w:cs="Times New Roman"/>
            <w:color w:val="000000" w:themeColor="text1"/>
          </w:rPr>
          <w:t>Figure 4.1. SHAP summary for the integrated XGBoost artifact</w:t>
        </w:r>
      </w:hyperlink>
      <w:r w:rsidRPr="00E4528F">
        <w:rPr>
          <w:rFonts w:cs="Times New Roman"/>
          <w:color w:val="000000" w:themeColor="text1"/>
        </w:rPr>
        <w:tab/>
        <w:t>27</w:t>
      </w:r>
    </w:p>
    <w:p w14:paraId="5AC72369" w14:textId="77777777" w:rsidR="00FE2287" w:rsidRPr="00E4528F" w:rsidRDefault="00FE2287">
      <w:pPr>
        <w:pStyle w:val="TOC11"/>
        <w:tabs>
          <w:tab w:val="right" w:leader="dot" w:pos="8640"/>
        </w:tabs>
        <w:spacing w:after="40"/>
        <w:rPr>
          <w:rFonts w:cs="Times New Roman"/>
          <w:color w:val="000000" w:themeColor="text1"/>
        </w:rPr>
      </w:pPr>
      <w:hyperlink w:anchor="bm_fig_model" w:history="1">
        <w:r w:rsidRPr="00E4528F">
          <w:rPr>
            <w:rFonts w:cs="Times New Roman"/>
            <w:color w:val="000000" w:themeColor="text1"/>
          </w:rPr>
          <w:t>Figure 5.1. Predictive-model comparison</w:t>
        </w:r>
      </w:hyperlink>
      <w:r w:rsidRPr="00E4528F">
        <w:rPr>
          <w:rFonts w:cs="Times New Roman"/>
          <w:color w:val="000000" w:themeColor="text1"/>
        </w:rPr>
        <w:tab/>
        <w:t>30</w:t>
      </w:r>
    </w:p>
    <w:p w14:paraId="24A669E8" w14:textId="77777777" w:rsidR="00FE2287" w:rsidRPr="00E4528F" w:rsidRDefault="00FE2287">
      <w:pPr>
        <w:pStyle w:val="TOC11"/>
        <w:tabs>
          <w:tab w:val="right" w:leader="dot" w:pos="8640"/>
        </w:tabs>
        <w:spacing w:after="40"/>
        <w:rPr>
          <w:rFonts w:cs="Times New Roman"/>
          <w:color w:val="000000" w:themeColor="text1"/>
        </w:rPr>
      </w:pPr>
      <w:hyperlink w:anchor="bm_fig_bootstrap" w:history="1">
        <w:r w:rsidRPr="00E4528F">
          <w:rPr>
            <w:rFonts w:cs="Times New Roman"/>
            <w:color w:val="000000" w:themeColor="text1"/>
          </w:rPr>
          <w:t>Figure 5.2. Paired-bootstrap PR-AUC differences</w:t>
        </w:r>
      </w:hyperlink>
      <w:r w:rsidRPr="00E4528F">
        <w:rPr>
          <w:rFonts w:cs="Times New Roman"/>
          <w:color w:val="000000" w:themeColor="text1"/>
        </w:rPr>
        <w:tab/>
        <w:t>31</w:t>
      </w:r>
    </w:p>
    <w:p w14:paraId="1F39BF4D" w14:textId="77777777" w:rsidR="00FE2287" w:rsidRPr="00E4528F" w:rsidRDefault="00FE2287">
      <w:pPr>
        <w:pStyle w:val="TOC11"/>
        <w:tabs>
          <w:tab w:val="right" w:leader="dot" w:pos="8640"/>
        </w:tabs>
        <w:spacing w:after="40"/>
        <w:rPr>
          <w:rFonts w:cs="Times New Roman"/>
          <w:color w:val="000000" w:themeColor="text1"/>
        </w:rPr>
      </w:pPr>
      <w:hyperlink w:anchor="bm_fig_permutation" w:history="1">
        <w:r w:rsidRPr="00E4528F">
          <w:rPr>
            <w:rFonts w:cs="Times New Roman"/>
            <w:color w:val="000000" w:themeColor="text1"/>
          </w:rPr>
          <w:t>Figure 5.3. Label-permutation signal diagnostic</w:t>
        </w:r>
      </w:hyperlink>
      <w:r w:rsidRPr="00E4528F">
        <w:rPr>
          <w:rFonts w:cs="Times New Roman"/>
          <w:color w:val="000000" w:themeColor="text1"/>
        </w:rPr>
        <w:tab/>
        <w:t>32</w:t>
      </w:r>
    </w:p>
    <w:p w14:paraId="056CB488" w14:textId="77777777" w:rsidR="00FE2287" w:rsidRPr="00E4528F" w:rsidRDefault="00FE2287">
      <w:pPr>
        <w:pStyle w:val="TOC11"/>
        <w:tabs>
          <w:tab w:val="right" w:leader="dot" w:pos="8640"/>
        </w:tabs>
        <w:spacing w:after="40"/>
        <w:rPr>
          <w:rFonts w:cs="Times New Roman"/>
          <w:color w:val="000000" w:themeColor="text1"/>
        </w:rPr>
      </w:pPr>
      <w:hyperlink w:anchor="bm_fig_fairness" w:history="1">
        <w:r w:rsidRPr="00E4528F">
          <w:rPr>
            <w:rFonts w:cs="Times New Roman"/>
            <w:color w:val="000000" w:themeColor="text1"/>
          </w:rPr>
          <w:t>Figure 5.4. Country-level selection and error rates</w:t>
        </w:r>
      </w:hyperlink>
      <w:r w:rsidRPr="00E4528F">
        <w:rPr>
          <w:rFonts w:cs="Times New Roman"/>
          <w:color w:val="000000" w:themeColor="text1"/>
        </w:rPr>
        <w:tab/>
        <w:t>33</w:t>
      </w:r>
    </w:p>
    <w:p w14:paraId="36568ACA" w14:textId="77777777" w:rsidR="00FE2287" w:rsidRPr="00E4528F" w:rsidRDefault="00FE2287">
      <w:pPr>
        <w:pStyle w:val="TOC11"/>
        <w:tabs>
          <w:tab w:val="right" w:leader="dot" w:pos="8640"/>
        </w:tabs>
        <w:spacing w:after="40"/>
        <w:rPr>
          <w:rFonts w:cs="Times New Roman"/>
          <w:color w:val="000000" w:themeColor="text1"/>
        </w:rPr>
      </w:pPr>
      <w:hyperlink w:anchor="bm_fig_reliability" w:history="1">
        <w:r w:rsidRPr="00E4528F">
          <w:rPr>
            <w:rFonts w:cs="Times New Roman"/>
            <w:color w:val="000000" w:themeColor="text1"/>
          </w:rPr>
          <w:t>Figure 5.5. Reliability diagram</w:t>
        </w:r>
      </w:hyperlink>
      <w:r w:rsidRPr="00E4528F">
        <w:rPr>
          <w:rFonts w:cs="Times New Roman"/>
          <w:color w:val="000000" w:themeColor="text1"/>
        </w:rPr>
        <w:tab/>
        <w:t>35</w:t>
      </w:r>
    </w:p>
    <w:p w14:paraId="311748DE" w14:textId="77777777" w:rsidR="00FE2287" w:rsidRPr="00E4528F" w:rsidRDefault="00000000">
      <w:pPr>
        <w:pStyle w:val="Heading1"/>
        <w:pageBreakBefore/>
        <w:rPr>
          <w:rFonts w:ascii="Times New Roman" w:hAnsi="Times New Roman" w:cs="Times New Roman"/>
          <w:color w:val="000000" w:themeColor="text1"/>
        </w:rPr>
      </w:pPr>
      <w:bookmarkStart w:id="5" w:name="bm_abbreviations"/>
      <w:r w:rsidRPr="00E4528F">
        <w:rPr>
          <w:rFonts w:ascii="Times New Roman" w:hAnsi="Times New Roman" w:cs="Times New Roman"/>
          <w:color w:val="000000" w:themeColor="text1"/>
        </w:rPr>
        <w:lastRenderedPageBreak/>
        <w:t>Abbreviations</w:t>
      </w:r>
      <w:bookmarkEnd w:id="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840"/>
      </w:tblGrid>
      <w:tr w:rsidR="00FE2287" w:rsidRPr="00E4528F" w14:paraId="34F8FE66" w14:textId="77777777">
        <w:trPr>
          <w:cantSplit/>
          <w:tblHeader/>
          <w:jc w:val="center"/>
        </w:trPr>
        <w:tc>
          <w:tcPr>
            <w:tcW w:w="1800" w:type="dxa"/>
            <w:shd w:val="clear" w:color="auto" w:fill="17365D"/>
            <w:tcMar>
              <w:top w:w="80" w:type="dxa"/>
              <w:left w:w="90" w:type="dxa"/>
              <w:bottom w:w="80" w:type="dxa"/>
              <w:right w:w="90" w:type="dxa"/>
            </w:tcMar>
            <w:vAlign w:val="center"/>
          </w:tcPr>
          <w:p w14:paraId="65532C30"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20"/>
              </w:rPr>
              <w:t>Term</w:t>
            </w:r>
          </w:p>
        </w:tc>
        <w:tc>
          <w:tcPr>
            <w:tcW w:w="6840" w:type="dxa"/>
            <w:shd w:val="clear" w:color="auto" w:fill="17365D"/>
            <w:tcMar>
              <w:top w:w="80" w:type="dxa"/>
              <w:left w:w="90" w:type="dxa"/>
              <w:bottom w:w="80" w:type="dxa"/>
              <w:right w:w="90" w:type="dxa"/>
            </w:tcMar>
            <w:vAlign w:val="center"/>
          </w:tcPr>
          <w:p w14:paraId="42D3087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20"/>
              </w:rPr>
              <w:t>Meaning</w:t>
            </w:r>
          </w:p>
        </w:tc>
      </w:tr>
      <w:tr w:rsidR="00FE2287" w:rsidRPr="00E4528F" w14:paraId="34F84691" w14:textId="77777777">
        <w:trPr>
          <w:cantSplit/>
          <w:jc w:val="center"/>
        </w:trPr>
        <w:tc>
          <w:tcPr>
            <w:tcW w:w="1800" w:type="dxa"/>
            <w:tcMar>
              <w:top w:w="80" w:type="dxa"/>
              <w:left w:w="90" w:type="dxa"/>
              <w:bottom w:w="80" w:type="dxa"/>
              <w:right w:w="90" w:type="dxa"/>
            </w:tcMar>
            <w:vAlign w:val="center"/>
          </w:tcPr>
          <w:p w14:paraId="4F444CD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API</w:t>
            </w:r>
          </w:p>
        </w:tc>
        <w:tc>
          <w:tcPr>
            <w:tcW w:w="6840" w:type="dxa"/>
            <w:tcMar>
              <w:top w:w="80" w:type="dxa"/>
              <w:left w:w="90" w:type="dxa"/>
              <w:bottom w:w="80" w:type="dxa"/>
              <w:right w:w="90" w:type="dxa"/>
            </w:tcMar>
            <w:vAlign w:val="center"/>
          </w:tcPr>
          <w:p w14:paraId="0A45DB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Application programming interface</w:t>
            </w:r>
          </w:p>
        </w:tc>
      </w:tr>
      <w:tr w:rsidR="00FE2287" w:rsidRPr="00E4528F" w14:paraId="27F97E00" w14:textId="77777777">
        <w:trPr>
          <w:cantSplit/>
          <w:jc w:val="center"/>
        </w:trPr>
        <w:tc>
          <w:tcPr>
            <w:tcW w:w="1800" w:type="dxa"/>
            <w:shd w:val="clear" w:color="auto" w:fill="F3F6F9"/>
            <w:tcMar>
              <w:top w:w="80" w:type="dxa"/>
              <w:left w:w="90" w:type="dxa"/>
              <w:bottom w:w="80" w:type="dxa"/>
              <w:right w:w="90" w:type="dxa"/>
            </w:tcMar>
            <w:vAlign w:val="center"/>
          </w:tcPr>
          <w:p w14:paraId="33B804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CID</w:t>
            </w:r>
          </w:p>
        </w:tc>
        <w:tc>
          <w:tcPr>
            <w:tcW w:w="6840" w:type="dxa"/>
            <w:shd w:val="clear" w:color="auto" w:fill="F3F6F9"/>
            <w:tcMar>
              <w:top w:w="80" w:type="dxa"/>
              <w:left w:w="90" w:type="dxa"/>
              <w:bottom w:w="80" w:type="dxa"/>
              <w:right w:w="90" w:type="dxa"/>
            </w:tcMar>
            <w:vAlign w:val="center"/>
          </w:tcPr>
          <w:p w14:paraId="358770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Content identifier</w:t>
            </w:r>
          </w:p>
        </w:tc>
      </w:tr>
      <w:tr w:rsidR="00FE2287" w:rsidRPr="00E4528F" w14:paraId="1B773C0F" w14:textId="77777777">
        <w:trPr>
          <w:cantSplit/>
          <w:jc w:val="center"/>
        </w:trPr>
        <w:tc>
          <w:tcPr>
            <w:tcW w:w="1800" w:type="dxa"/>
            <w:tcMar>
              <w:top w:w="80" w:type="dxa"/>
              <w:left w:w="90" w:type="dxa"/>
              <w:bottom w:w="80" w:type="dxa"/>
              <w:right w:w="90" w:type="dxa"/>
            </w:tcMar>
            <w:vAlign w:val="center"/>
          </w:tcPr>
          <w:p w14:paraId="29639C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DLT</w:t>
            </w:r>
          </w:p>
        </w:tc>
        <w:tc>
          <w:tcPr>
            <w:tcW w:w="6840" w:type="dxa"/>
            <w:tcMar>
              <w:top w:w="80" w:type="dxa"/>
              <w:left w:w="90" w:type="dxa"/>
              <w:bottom w:w="80" w:type="dxa"/>
              <w:right w:w="90" w:type="dxa"/>
            </w:tcMar>
            <w:vAlign w:val="center"/>
          </w:tcPr>
          <w:p w14:paraId="6D84D1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Distributed ledger technology</w:t>
            </w:r>
          </w:p>
        </w:tc>
      </w:tr>
      <w:tr w:rsidR="00FE2287" w:rsidRPr="00E4528F" w14:paraId="3166C8AF" w14:textId="77777777">
        <w:trPr>
          <w:cantSplit/>
          <w:jc w:val="center"/>
        </w:trPr>
        <w:tc>
          <w:tcPr>
            <w:tcW w:w="1800" w:type="dxa"/>
            <w:shd w:val="clear" w:color="auto" w:fill="F3F6F9"/>
            <w:tcMar>
              <w:top w:w="80" w:type="dxa"/>
              <w:left w:w="90" w:type="dxa"/>
              <w:bottom w:w="80" w:type="dxa"/>
              <w:right w:w="90" w:type="dxa"/>
            </w:tcMar>
            <w:vAlign w:val="center"/>
          </w:tcPr>
          <w:p w14:paraId="4847CAC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DPIA</w:t>
            </w:r>
          </w:p>
        </w:tc>
        <w:tc>
          <w:tcPr>
            <w:tcW w:w="6840" w:type="dxa"/>
            <w:shd w:val="clear" w:color="auto" w:fill="F3F6F9"/>
            <w:tcMar>
              <w:top w:w="80" w:type="dxa"/>
              <w:left w:w="90" w:type="dxa"/>
              <w:bottom w:w="80" w:type="dxa"/>
              <w:right w:w="90" w:type="dxa"/>
            </w:tcMar>
            <w:vAlign w:val="center"/>
          </w:tcPr>
          <w:p w14:paraId="053A875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Data protection impact assessment</w:t>
            </w:r>
          </w:p>
        </w:tc>
      </w:tr>
      <w:tr w:rsidR="00FE2287" w:rsidRPr="00E4528F" w14:paraId="19310DA3" w14:textId="77777777">
        <w:trPr>
          <w:cantSplit/>
          <w:jc w:val="center"/>
        </w:trPr>
        <w:tc>
          <w:tcPr>
            <w:tcW w:w="1800" w:type="dxa"/>
            <w:tcMar>
              <w:top w:w="80" w:type="dxa"/>
              <w:left w:w="90" w:type="dxa"/>
              <w:bottom w:w="80" w:type="dxa"/>
              <w:right w:w="90" w:type="dxa"/>
            </w:tcMar>
            <w:vAlign w:val="center"/>
          </w:tcPr>
          <w:p w14:paraId="4F2D9E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DSR</w:t>
            </w:r>
          </w:p>
        </w:tc>
        <w:tc>
          <w:tcPr>
            <w:tcW w:w="6840" w:type="dxa"/>
            <w:tcMar>
              <w:top w:w="80" w:type="dxa"/>
              <w:left w:w="90" w:type="dxa"/>
              <w:bottom w:w="80" w:type="dxa"/>
              <w:right w:w="90" w:type="dxa"/>
            </w:tcMar>
            <w:vAlign w:val="center"/>
          </w:tcPr>
          <w:p w14:paraId="241D757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Design science research</w:t>
            </w:r>
          </w:p>
        </w:tc>
      </w:tr>
      <w:tr w:rsidR="00FE2287" w:rsidRPr="00E4528F" w14:paraId="08FCA389" w14:textId="77777777">
        <w:trPr>
          <w:cantSplit/>
          <w:jc w:val="center"/>
        </w:trPr>
        <w:tc>
          <w:tcPr>
            <w:tcW w:w="1800" w:type="dxa"/>
            <w:shd w:val="clear" w:color="auto" w:fill="F3F6F9"/>
            <w:tcMar>
              <w:top w:w="80" w:type="dxa"/>
              <w:left w:w="90" w:type="dxa"/>
              <w:bottom w:w="80" w:type="dxa"/>
              <w:right w:w="90" w:type="dxa"/>
            </w:tcMar>
            <w:vAlign w:val="center"/>
          </w:tcPr>
          <w:p w14:paraId="09E4D5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EDPB</w:t>
            </w:r>
          </w:p>
        </w:tc>
        <w:tc>
          <w:tcPr>
            <w:tcW w:w="6840" w:type="dxa"/>
            <w:shd w:val="clear" w:color="auto" w:fill="F3F6F9"/>
            <w:tcMar>
              <w:top w:w="80" w:type="dxa"/>
              <w:left w:w="90" w:type="dxa"/>
              <w:bottom w:w="80" w:type="dxa"/>
              <w:right w:w="90" w:type="dxa"/>
            </w:tcMar>
            <w:vAlign w:val="center"/>
          </w:tcPr>
          <w:p w14:paraId="2AEAB3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European Data Protection Board</w:t>
            </w:r>
          </w:p>
        </w:tc>
      </w:tr>
      <w:tr w:rsidR="00FE2287" w:rsidRPr="00E4528F" w14:paraId="489FE2BC" w14:textId="77777777">
        <w:trPr>
          <w:cantSplit/>
          <w:jc w:val="center"/>
        </w:trPr>
        <w:tc>
          <w:tcPr>
            <w:tcW w:w="1800" w:type="dxa"/>
            <w:tcMar>
              <w:top w:w="80" w:type="dxa"/>
              <w:left w:w="90" w:type="dxa"/>
              <w:bottom w:w="80" w:type="dxa"/>
              <w:right w:w="90" w:type="dxa"/>
            </w:tcMar>
            <w:vAlign w:val="center"/>
          </w:tcPr>
          <w:p w14:paraId="5F1A79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EIP</w:t>
            </w:r>
          </w:p>
        </w:tc>
        <w:tc>
          <w:tcPr>
            <w:tcW w:w="6840" w:type="dxa"/>
            <w:tcMar>
              <w:top w:w="80" w:type="dxa"/>
              <w:left w:w="90" w:type="dxa"/>
              <w:bottom w:w="80" w:type="dxa"/>
              <w:right w:w="90" w:type="dxa"/>
            </w:tcMar>
            <w:vAlign w:val="center"/>
          </w:tcPr>
          <w:p w14:paraId="15B480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Ethereum Improvement Proposal</w:t>
            </w:r>
          </w:p>
        </w:tc>
      </w:tr>
      <w:tr w:rsidR="00FE2287" w:rsidRPr="00E4528F" w14:paraId="694F5740" w14:textId="77777777">
        <w:trPr>
          <w:cantSplit/>
          <w:jc w:val="center"/>
        </w:trPr>
        <w:tc>
          <w:tcPr>
            <w:tcW w:w="1800" w:type="dxa"/>
            <w:shd w:val="clear" w:color="auto" w:fill="F3F6F9"/>
            <w:tcMar>
              <w:top w:w="80" w:type="dxa"/>
              <w:left w:w="90" w:type="dxa"/>
              <w:bottom w:w="80" w:type="dxa"/>
              <w:right w:w="90" w:type="dxa"/>
            </w:tcMar>
            <w:vAlign w:val="center"/>
          </w:tcPr>
          <w:p w14:paraId="38CA12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EIOPA</w:t>
            </w:r>
          </w:p>
        </w:tc>
        <w:tc>
          <w:tcPr>
            <w:tcW w:w="6840" w:type="dxa"/>
            <w:shd w:val="clear" w:color="auto" w:fill="F3F6F9"/>
            <w:tcMar>
              <w:top w:w="80" w:type="dxa"/>
              <w:left w:w="90" w:type="dxa"/>
              <w:bottom w:w="80" w:type="dxa"/>
              <w:right w:w="90" w:type="dxa"/>
            </w:tcMar>
            <w:vAlign w:val="center"/>
          </w:tcPr>
          <w:p w14:paraId="3B3487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European Insurance and Occupational Pensions Authority</w:t>
            </w:r>
          </w:p>
        </w:tc>
      </w:tr>
      <w:tr w:rsidR="00FE2287" w:rsidRPr="00E4528F" w14:paraId="222BD870" w14:textId="77777777">
        <w:trPr>
          <w:cantSplit/>
          <w:jc w:val="center"/>
        </w:trPr>
        <w:tc>
          <w:tcPr>
            <w:tcW w:w="1800" w:type="dxa"/>
            <w:tcMar>
              <w:top w:w="80" w:type="dxa"/>
              <w:left w:w="90" w:type="dxa"/>
              <w:bottom w:w="80" w:type="dxa"/>
              <w:right w:w="90" w:type="dxa"/>
            </w:tcMar>
            <w:vAlign w:val="center"/>
          </w:tcPr>
          <w:p w14:paraId="23D32F6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ERC</w:t>
            </w:r>
          </w:p>
        </w:tc>
        <w:tc>
          <w:tcPr>
            <w:tcW w:w="6840" w:type="dxa"/>
            <w:tcMar>
              <w:top w:w="80" w:type="dxa"/>
              <w:left w:w="90" w:type="dxa"/>
              <w:bottom w:w="80" w:type="dxa"/>
              <w:right w:w="90" w:type="dxa"/>
            </w:tcMar>
            <w:vAlign w:val="center"/>
          </w:tcPr>
          <w:p w14:paraId="77CD831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Ethereum Request for Comments</w:t>
            </w:r>
          </w:p>
        </w:tc>
      </w:tr>
      <w:tr w:rsidR="00FE2287" w:rsidRPr="00E4528F" w14:paraId="4766233B" w14:textId="77777777">
        <w:trPr>
          <w:cantSplit/>
          <w:jc w:val="center"/>
        </w:trPr>
        <w:tc>
          <w:tcPr>
            <w:tcW w:w="1800" w:type="dxa"/>
            <w:shd w:val="clear" w:color="auto" w:fill="F3F6F9"/>
            <w:tcMar>
              <w:top w:w="80" w:type="dxa"/>
              <w:left w:w="90" w:type="dxa"/>
              <w:bottom w:w="80" w:type="dxa"/>
              <w:right w:w="90" w:type="dxa"/>
            </w:tcMar>
            <w:vAlign w:val="center"/>
          </w:tcPr>
          <w:p w14:paraId="071AFF8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GDPR</w:t>
            </w:r>
          </w:p>
        </w:tc>
        <w:tc>
          <w:tcPr>
            <w:tcW w:w="6840" w:type="dxa"/>
            <w:shd w:val="clear" w:color="auto" w:fill="F3F6F9"/>
            <w:tcMar>
              <w:top w:w="80" w:type="dxa"/>
              <w:left w:w="90" w:type="dxa"/>
              <w:bottom w:w="80" w:type="dxa"/>
              <w:right w:w="90" w:type="dxa"/>
            </w:tcMar>
            <w:vAlign w:val="center"/>
          </w:tcPr>
          <w:p w14:paraId="31CAAD4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General Data Protection Regulation</w:t>
            </w:r>
          </w:p>
        </w:tc>
      </w:tr>
      <w:tr w:rsidR="00FE2287" w:rsidRPr="00E4528F" w14:paraId="57E291AA" w14:textId="77777777">
        <w:trPr>
          <w:cantSplit/>
          <w:jc w:val="center"/>
        </w:trPr>
        <w:tc>
          <w:tcPr>
            <w:tcW w:w="1800" w:type="dxa"/>
            <w:tcMar>
              <w:top w:w="80" w:type="dxa"/>
              <w:left w:w="90" w:type="dxa"/>
              <w:bottom w:w="80" w:type="dxa"/>
              <w:right w:w="90" w:type="dxa"/>
            </w:tcMar>
            <w:vAlign w:val="center"/>
          </w:tcPr>
          <w:p w14:paraId="34626F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HMAC</w:t>
            </w:r>
          </w:p>
        </w:tc>
        <w:tc>
          <w:tcPr>
            <w:tcW w:w="6840" w:type="dxa"/>
            <w:tcMar>
              <w:top w:w="80" w:type="dxa"/>
              <w:left w:w="90" w:type="dxa"/>
              <w:bottom w:w="80" w:type="dxa"/>
              <w:right w:w="90" w:type="dxa"/>
            </w:tcMar>
            <w:vAlign w:val="center"/>
          </w:tcPr>
          <w:p w14:paraId="3F526B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Hash-based message authentication code</w:t>
            </w:r>
          </w:p>
        </w:tc>
      </w:tr>
      <w:tr w:rsidR="00FE2287" w:rsidRPr="00E4528F" w14:paraId="13C4341D" w14:textId="77777777">
        <w:trPr>
          <w:cantSplit/>
          <w:jc w:val="center"/>
        </w:trPr>
        <w:tc>
          <w:tcPr>
            <w:tcW w:w="1800" w:type="dxa"/>
            <w:shd w:val="clear" w:color="auto" w:fill="F3F6F9"/>
            <w:tcMar>
              <w:top w:w="80" w:type="dxa"/>
              <w:left w:w="90" w:type="dxa"/>
              <w:bottom w:w="80" w:type="dxa"/>
              <w:right w:w="90" w:type="dxa"/>
            </w:tcMar>
            <w:vAlign w:val="center"/>
          </w:tcPr>
          <w:p w14:paraId="29FB17D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IPFS</w:t>
            </w:r>
          </w:p>
        </w:tc>
        <w:tc>
          <w:tcPr>
            <w:tcW w:w="6840" w:type="dxa"/>
            <w:shd w:val="clear" w:color="auto" w:fill="F3F6F9"/>
            <w:tcMar>
              <w:top w:w="80" w:type="dxa"/>
              <w:left w:w="90" w:type="dxa"/>
              <w:bottom w:w="80" w:type="dxa"/>
              <w:right w:w="90" w:type="dxa"/>
            </w:tcMar>
            <w:vAlign w:val="center"/>
          </w:tcPr>
          <w:p w14:paraId="20CDD72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InterPlanetary File System</w:t>
            </w:r>
          </w:p>
        </w:tc>
      </w:tr>
      <w:tr w:rsidR="00FE2287" w:rsidRPr="00E4528F" w14:paraId="7BFEE3A4" w14:textId="77777777">
        <w:trPr>
          <w:cantSplit/>
          <w:jc w:val="center"/>
        </w:trPr>
        <w:tc>
          <w:tcPr>
            <w:tcW w:w="1800" w:type="dxa"/>
            <w:tcMar>
              <w:top w:w="80" w:type="dxa"/>
              <w:left w:w="90" w:type="dxa"/>
              <w:bottom w:w="80" w:type="dxa"/>
              <w:right w:w="90" w:type="dxa"/>
            </w:tcMar>
            <w:vAlign w:val="center"/>
          </w:tcPr>
          <w:p w14:paraId="690FE5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ML</w:t>
            </w:r>
          </w:p>
        </w:tc>
        <w:tc>
          <w:tcPr>
            <w:tcW w:w="6840" w:type="dxa"/>
            <w:tcMar>
              <w:top w:w="80" w:type="dxa"/>
              <w:left w:w="90" w:type="dxa"/>
              <w:bottom w:w="80" w:type="dxa"/>
              <w:right w:w="90" w:type="dxa"/>
            </w:tcMar>
            <w:vAlign w:val="center"/>
          </w:tcPr>
          <w:p w14:paraId="21E2270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Machine learning</w:t>
            </w:r>
          </w:p>
        </w:tc>
      </w:tr>
      <w:tr w:rsidR="00FE2287" w:rsidRPr="00E4528F" w14:paraId="5A1961EB" w14:textId="77777777">
        <w:trPr>
          <w:cantSplit/>
          <w:jc w:val="center"/>
        </w:trPr>
        <w:tc>
          <w:tcPr>
            <w:tcW w:w="1800" w:type="dxa"/>
            <w:shd w:val="clear" w:color="auto" w:fill="F3F6F9"/>
            <w:tcMar>
              <w:top w:w="80" w:type="dxa"/>
              <w:left w:w="90" w:type="dxa"/>
              <w:bottom w:w="80" w:type="dxa"/>
              <w:right w:w="90" w:type="dxa"/>
            </w:tcMar>
            <w:vAlign w:val="center"/>
          </w:tcPr>
          <w:p w14:paraId="7C7017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NIST</w:t>
            </w:r>
          </w:p>
        </w:tc>
        <w:tc>
          <w:tcPr>
            <w:tcW w:w="6840" w:type="dxa"/>
            <w:shd w:val="clear" w:color="auto" w:fill="F3F6F9"/>
            <w:tcMar>
              <w:top w:w="80" w:type="dxa"/>
              <w:left w:w="90" w:type="dxa"/>
              <w:bottom w:w="80" w:type="dxa"/>
              <w:right w:w="90" w:type="dxa"/>
            </w:tcMar>
            <w:vAlign w:val="center"/>
          </w:tcPr>
          <w:p w14:paraId="7331D73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National Institute of Standards and Technology</w:t>
            </w:r>
          </w:p>
        </w:tc>
      </w:tr>
      <w:tr w:rsidR="00FE2287" w:rsidRPr="00E4528F" w14:paraId="4EA73E47" w14:textId="77777777">
        <w:trPr>
          <w:cantSplit/>
          <w:jc w:val="center"/>
        </w:trPr>
        <w:tc>
          <w:tcPr>
            <w:tcW w:w="1800" w:type="dxa"/>
            <w:tcMar>
              <w:top w:w="80" w:type="dxa"/>
              <w:left w:w="90" w:type="dxa"/>
              <w:bottom w:w="80" w:type="dxa"/>
              <w:right w:w="90" w:type="dxa"/>
            </w:tcMar>
            <w:vAlign w:val="center"/>
          </w:tcPr>
          <w:p w14:paraId="1ACE5C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PR-AUC</w:t>
            </w:r>
          </w:p>
        </w:tc>
        <w:tc>
          <w:tcPr>
            <w:tcW w:w="6840" w:type="dxa"/>
            <w:tcMar>
              <w:top w:w="80" w:type="dxa"/>
              <w:left w:w="90" w:type="dxa"/>
              <w:bottom w:w="80" w:type="dxa"/>
              <w:right w:w="90" w:type="dxa"/>
            </w:tcMar>
            <w:vAlign w:val="center"/>
          </w:tcPr>
          <w:p w14:paraId="79C326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Area under the precision–recall curve</w:t>
            </w:r>
          </w:p>
        </w:tc>
      </w:tr>
      <w:tr w:rsidR="00FE2287" w:rsidRPr="00E4528F" w14:paraId="49769CED" w14:textId="77777777">
        <w:trPr>
          <w:cantSplit/>
          <w:jc w:val="center"/>
        </w:trPr>
        <w:tc>
          <w:tcPr>
            <w:tcW w:w="1800" w:type="dxa"/>
            <w:shd w:val="clear" w:color="auto" w:fill="F3F6F9"/>
            <w:tcMar>
              <w:top w:w="80" w:type="dxa"/>
              <w:left w:w="90" w:type="dxa"/>
              <w:bottom w:w="80" w:type="dxa"/>
              <w:right w:w="90" w:type="dxa"/>
            </w:tcMar>
            <w:vAlign w:val="center"/>
          </w:tcPr>
          <w:p w14:paraId="010D19A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ROC-AUC</w:t>
            </w:r>
          </w:p>
        </w:tc>
        <w:tc>
          <w:tcPr>
            <w:tcW w:w="6840" w:type="dxa"/>
            <w:shd w:val="clear" w:color="auto" w:fill="F3F6F9"/>
            <w:tcMar>
              <w:top w:w="80" w:type="dxa"/>
              <w:left w:w="90" w:type="dxa"/>
              <w:bottom w:w="80" w:type="dxa"/>
              <w:right w:w="90" w:type="dxa"/>
            </w:tcMar>
            <w:vAlign w:val="center"/>
          </w:tcPr>
          <w:p w14:paraId="6E9E49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Area under the receiver operating characteristic curve</w:t>
            </w:r>
          </w:p>
        </w:tc>
      </w:tr>
      <w:tr w:rsidR="00FE2287" w:rsidRPr="00E4528F" w14:paraId="0CB569C0" w14:textId="77777777">
        <w:trPr>
          <w:cantSplit/>
          <w:jc w:val="center"/>
        </w:trPr>
        <w:tc>
          <w:tcPr>
            <w:tcW w:w="1800" w:type="dxa"/>
            <w:tcMar>
              <w:top w:w="80" w:type="dxa"/>
              <w:left w:w="90" w:type="dxa"/>
              <w:bottom w:w="80" w:type="dxa"/>
              <w:right w:w="90" w:type="dxa"/>
            </w:tcMar>
            <w:vAlign w:val="center"/>
          </w:tcPr>
          <w:p w14:paraId="666F04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SHAP</w:t>
            </w:r>
          </w:p>
        </w:tc>
        <w:tc>
          <w:tcPr>
            <w:tcW w:w="6840" w:type="dxa"/>
            <w:tcMar>
              <w:top w:w="80" w:type="dxa"/>
              <w:left w:w="90" w:type="dxa"/>
              <w:bottom w:w="80" w:type="dxa"/>
              <w:right w:w="90" w:type="dxa"/>
            </w:tcMar>
            <w:vAlign w:val="center"/>
          </w:tcPr>
          <w:p w14:paraId="4C1996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SHapley Additive exPlanations</w:t>
            </w:r>
          </w:p>
        </w:tc>
      </w:tr>
      <w:tr w:rsidR="00FE2287" w:rsidRPr="00E4528F" w14:paraId="336AA28E" w14:textId="77777777">
        <w:trPr>
          <w:cantSplit/>
          <w:jc w:val="center"/>
        </w:trPr>
        <w:tc>
          <w:tcPr>
            <w:tcW w:w="1800" w:type="dxa"/>
            <w:shd w:val="clear" w:color="auto" w:fill="F3F6F9"/>
            <w:tcMar>
              <w:top w:w="80" w:type="dxa"/>
              <w:left w:w="90" w:type="dxa"/>
              <w:bottom w:w="80" w:type="dxa"/>
              <w:right w:w="90" w:type="dxa"/>
            </w:tcMar>
            <w:vAlign w:val="center"/>
          </w:tcPr>
          <w:p w14:paraId="26A69F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XAI</w:t>
            </w:r>
          </w:p>
        </w:tc>
        <w:tc>
          <w:tcPr>
            <w:tcW w:w="6840" w:type="dxa"/>
            <w:shd w:val="clear" w:color="auto" w:fill="F3F6F9"/>
            <w:tcMar>
              <w:top w:w="80" w:type="dxa"/>
              <w:left w:w="90" w:type="dxa"/>
              <w:bottom w:w="80" w:type="dxa"/>
              <w:right w:w="90" w:type="dxa"/>
            </w:tcMar>
            <w:vAlign w:val="center"/>
          </w:tcPr>
          <w:p w14:paraId="6141C68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Explainable artificial intelligence</w:t>
            </w:r>
          </w:p>
        </w:tc>
      </w:tr>
    </w:tbl>
    <w:p w14:paraId="1CEAF62F" w14:textId="77777777" w:rsidR="00FE2287" w:rsidRPr="00E4528F" w:rsidRDefault="00FE2287">
      <w:pPr>
        <w:spacing w:after="0"/>
        <w:rPr>
          <w:rFonts w:cs="Times New Roman"/>
          <w:color w:val="000000" w:themeColor="text1"/>
        </w:rPr>
      </w:pPr>
    </w:p>
    <w:p w14:paraId="7CF31F52" w14:textId="77777777" w:rsidR="00FE2287" w:rsidRPr="00E4528F" w:rsidRDefault="00FE2287">
      <w:pPr>
        <w:rPr>
          <w:rFonts w:cs="Times New Roman"/>
          <w:color w:val="000000" w:themeColor="text1"/>
        </w:rPr>
        <w:sectPr w:rsidR="00FE2287" w:rsidRPr="00E4528F">
          <w:headerReference w:type="default" r:id="rId10"/>
          <w:footerReference w:type="default" r:id="rId11"/>
          <w:pgSz w:w="12240" w:h="15840"/>
          <w:pgMar w:top="1440" w:right="1800" w:bottom="1296" w:left="1800" w:header="648" w:footer="648" w:gutter="0"/>
          <w:pgNumType w:fmt="lowerRoman" w:start="1"/>
          <w:cols w:space="720"/>
          <w:docGrid w:linePitch="360"/>
        </w:sectPr>
      </w:pPr>
    </w:p>
    <w:p w14:paraId="16057A1D" w14:textId="77777777" w:rsidR="00FE2287" w:rsidRPr="00E4528F" w:rsidRDefault="00000000">
      <w:pPr>
        <w:pStyle w:val="Heading1"/>
        <w:rPr>
          <w:rFonts w:ascii="Times New Roman" w:hAnsi="Times New Roman" w:cs="Times New Roman"/>
          <w:color w:val="000000" w:themeColor="text1"/>
          <w:sz w:val="40"/>
          <w:szCs w:val="40"/>
        </w:rPr>
      </w:pPr>
      <w:bookmarkStart w:id="6" w:name="bm_ch1"/>
      <w:r w:rsidRPr="00E4528F">
        <w:rPr>
          <w:rFonts w:ascii="Times New Roman" w:hAnsi="Times New Roman" w:cs="Times New Roman"/>
          <w:color w:val="000000" w:themeColor="text1"/>
          <w:sz w:val="40"/>
          <w:szCs w:val="40"/>
        </w:rPr>
        <w:lastRenderedPageBreak/>
        <w:t>Chapter 1: Introduction</w:t>
      </w:r>
      <w:bookmarkEnd w:id="6"/>
    </w:p>
    <w:p w14:paraId="6B2A5E9C" w14:textId="77777777" w:rsidR="00FE2287" w:rsidRPr="00E4528F" w:rsidRDefault="00000000">
      <w:pPr>
        <w:rPr>
          <w:rFonts w:cs="Times New Roman"/>
          <w:color w:val="000000" w:themeColor="text1"/>
        </w:rPr>
      </w:pPr>
      <w:r w:rsidRPr="00E4528F">
        <w:rPr>
          <w:rFonts w:cs="Times New Roman"/>
          <w:color w:val="000000" w:themeColor="text1"/>
        </w:rPr>
        <w:t>The project began with a practical question: if a model flags a claim, can an investigator identify the exact version that was scored and the person who authorised it? This moved the project beyond classification. Before a model ranks a claim, the insurer needs to know what was submitted, who submitted it, when it was submitted and whether a similar incident exists elsewhere. This information is often spread across policy systems, document stores, brokers and investigation tools. Even a strong model cannot fix an unreliable evidence trail. For this reason, the study treats provenance and prediction as one systems problem. The claim must be useful for analysis while keeping enough context to reproduce or challenge the result.</w:t>
      </w:r>
    </w:p>
    <w:p w14:paraId="537C69BA" w14:textId="77777777" w:rsidR="00FE2287" w:rsidRPr="00E4528F" w:rsidRDefault="00000000">
      <w:pPr>
        <w:pStyle w:val="Heading2"/>
        <w:rPr>
          <w:rFonts w:ascii="Times New Roman" w:hAnsi="Times New Roman" w:cs="Times New Roman"/>
          <w:color w:val="000000" w:themeColor="text1"/>
          <w:sz w:val="32"/>
          <w:szCs w:val="32"/>
        </w:rPr>
      </w:pPr>
      <w:bookmarkStart w:id="7" w:name="bm_s1_1"/>
      <w:r w:rsidRPr="00E4528F">
        <w:rPr>
          <w:rFonts w:ascii="Times New Roman" w:hAnsi="Times New Roman" w:cs="Times New Roman"/>
          <w:color w:val="000000" w:themeColor="text1"/>
          <w:sz w:val="32"/>
          <w:szCs w:val="32"/>
        </w:rPr>
        <w:t>1.1 Background and motivation</w:t>
      </w:r>
      <w:bookmarkEnd w:id="7"/>
    </w:p>
    <w:p w14:paraId="66F0E35A" w14:textId="77777777" w:rsidR="00FE2287" w:rsidRPr="00E4528F" w:rsidRDefault="00000000">
      <w:pPr>
        <w:rPr>
          <w:rFonts w:cs="Times New Roman"/>
          <w:color w:val="000000" w:themeColor="text1"/>
        </w:rPr>
      </w:pPr>
      <w:r w:rsidRPr="00E4528F">
        <w:rPr>
          <w:rFonts w:cs="Times New Roman"/>
          <w:color w:val="000000" w:themeColor="text1"/>
        </w:rPr>
        <w:t xml:space="preserve">Fraud screening is not only a classification problem. Investigated fraud cases are rare compared with legitimate claims, labels arrive slowly and different errors have different costs. Recent insurance studies therefore treat fraud detection as an imbalanced decision-support problem, not a simple accuracy competition </w:t>
      </w:r>
      <w:sdt>
        <w:sdtPr>
          <w:rPr>
            <w:rFonts w:cs="Times New Roman"/>
            <w:color w:val="000000" w:themeColor="text1"/>
          </w:rPr>
          <w:id w:val="12000000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Car26</w:instrText>
          </w:r>
          <w:r w:rsidRPr="00E4528F">
            <w:rPr>
              <w:rFonts w:cs="Times New Roman"/>
              <w:color w:val="000000" w:themeColor="text1"/>
            </w:rPr>
            <w:fldChar w:fldCharType="separate"/>
          </w:r>
          <w:r w:rsidRPr="00E4528F">
            <w:rPr>
              <w:rFonts w:cs="Times New Roman"/>
              <w:noProof/>
              <w:color w:val="000000" w:themeColor="text1"/>
            </w:rPr>
            <w:t>(Debener, Heinke and Kriebel, 2023;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424EEB48" w14:textId="1356992E" w:rsidR="00FE2287" w:rsidRPr="00E4528F" w:rsidRDefault="00000000">
      <w:pPr>
        <w:rPr>
          <w:rFonts w:cs="Times New Roman"/>
          <w:color w:val="000000" w:themeColor="text1"/>
        </w:rPr>
      </w:pPr>
      <w:r w:rsidRPr="00E4528F">
        <w:rPr>
          <w:rFonts w:cs="Times New Roman"/>
          <w:color w:val="000000" w:themeColor="text1"/>
        </w:rPr>
        <w:t xml:space="preserve">Claims handling is now mostly digital, but the information is still divided between organisations and systems. Insurers must protect customer and business data yet isolated records make repeated incidents and conflicting histories harder to find. A single shared database could make comparison </w:t>
      </w:r>
      <w:r w:rsidR="002943B6" w:rsidRPr="00E4528F">
        <w:rPr>
          <w:rFonts w:cs="Times New Roman"/>
          <w:color w:val="000000" w:themeColor="text1"/>
        </w:rPr>
        <w:t>easier,</w:t>
      </w:r>
      <w:r w:rsidRPr="00E4528F">
        <w:rPr>
          <w:rFonts w:cs="Times New Roman"/>
          <w:color w:val="000000" w:themeColor="text1"/>
        </w:rPr>
        <w:t xml:space="preserve"> but it would also create one powerful owner and one major breach target. It also raises a simple question: who should be trusted to change the common record? A distributed ledger offers a narrower option. Selected lifecycle events can be shared as verifiable, append-only records, while detailed evidence remains in private storage.</w:t>
      </w:r>
    </w:p>
    <w:p w14:paraId="68A4FF19" w14:textId="77777777" w:rsidR="00FE2287" w:rsidRPr="00E4528F" w:rsidRDefault="00000000">
      <w:pPr>
        <w:rPr>
          <w:rFonts w:cs="Times New Roman"/>
          <w:color w:val="000000" w:themeColor="text1"/>
        </w:rPr>
      </w:pPr>
      <w:r w:rsidRPr="00E4528F">
        <w:rPr>
          <w:rFonts w:cs="Times New Roman"/>
          <w:color w:val="000000" w:themeColor="text1"/>
        </w:rPr>
        <w:t xml:space="preserve">Blockchain is useful here only for a limited purpose. Organisations managed by different parties may need a shared, tamper-evident history without giving one party full control. Smart contracts can limit who may submit or assess a claim and can reject invalid state changes. Hashes and content identifiers can connect a small on-chain record to a larger </w:t>
      </w:r>
      <w:r w:rsidRPr="00E4528F">
        <w:rPr>
          <w:rFonts w:cs="Times New Roman"/>
          <w:color w:val="000000" w:themeColor="text1"/>
        </w:rPr>
        <w:lastRenderedPageBreak/>
        <w:t xml:space="preserve">off-chain file. These controls support integrity and accountability, but they do not make the original claim true, private or suitable for a model </w:t>
      </w:r>
      <w:sdt>
        <w:sdtPr>
          <w:rPr>
            <w:rFonts w:cs="Times New Roman"/>
            <w:color w:val="000000" w:themeColor="text1"/>
          </w:rPr>
          <w:id w:val="12000000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EDP26</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European Data Protection Board, 2026)</w:t>
          </w:r>
          <w:r w:rsidRPr="00E4528F">
            <w:rPr>
              <w:rFonts w:cs="Times New Roman"/>
              <w:color w:val="000000" w:themeColor="text1"/>
            </w:rPr>
            <w:fldChar w:fldCharType="end"/>
          </w:r>
        </w:sdtContent>
      </w:sdt>
      <w:r w:rsidRPr="00E4528F">
        <w:rPr>
          <w:rFonts w:cs="Times New Roman"/>
          <w:color w:val="000000" w:themeColor="text1"/>
        </w:rPr>
        <w:t>. This distinction shaped the system design.</w:t>
      </w:r>
    </w:p>
    <w:p w14:paraId="1CDB4909" w14:textId="77777777" w:rsidR="00FE2287" w:rsidRPr="00E4528F" w:rsidRDefault="00000000">
      <w:pPr>
        <w:rPr>
          <w:rFonts w:cs="Times New Roman"/>
          <w:color w:val="000000" w:themeColor="text1"/>
        </w:rPr>
      </w:pPr>
      <w:r w:rsidRPr="00E4528F">
        <w:rPr>
          <w:rFonts w:cs="Times New Roman"/>
          <w:color w:val="000000" w:themeColor="text1"/>
        </w:rPr>
        <w:t xml:space="preserve">Machine learning adds a different capability. Claim amount, reporting delay, policy history, incident type and duplicate indicators can be combined to prioritise cases for investigation. The difficulty is that most claims are legitimate. False positives consume investigators’ time and can delay genuine customers, so a high accuracy figure may say very little. For that reason, the evaluation uses precision, recall, PR-AUC, threshold-dependent confusion matrices and the actual number of referrals. Explanations matter as well: a score should inform professional judgement, not quietly replace it </w:t>
      </w:r>
      <w:sdt>
        <w:sdtPr>
          <w:rPr>
            <w:rFonts w:cs="Times New Roman"/>
            <w:color w:val="000000" w:themeColor="text1"/>
          </w:rPr>
          <w:id w:val="12000000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Phi21</w:instrText>
          </w:r>
          <w:r w:rsidRPr="00E4528F">
            <w:rPr>
              <w:rFonts w:cs="Times New Roman"/>
              <w:color w:val="000000" w:themeColor="text1"/>
            </w:rPr>
            <w:fldChar w:fldCharType="separate"/>
          </w:r>
          <w:r w:rsidRPr="00E4528F">
            <w:rPr>
              <w:rFonts w:cs="Times New Roman"/>
              <w:noProof/>
              <w:color w:val="000000" w:themeColor="text1"/>
            </w:rPr>
            <w:t>(Schrijver, Sarmah and El-Hajj, 2024; Phillips et al., 2021)</w:t>
          </w:r>
          <w:r w:rsidRPr="00E4528F">
            <w:rPr>
              <w:rFonts w:cs="Times New Roman"/>
              <w:color w:val="000000" w:themeColor="text1"/>
            </w:rPr>
            <w:fldChar w:fldCharType="end"/>
          </w:r>
        </w:sdtContent>
      </w:sdt>
      <w:r w:rsidRPr="00E4528F">
        <w:rPr>
          <w:rFonts w:cs="Times New Roman"/>
          <w:color w:val="000000" w:themeColor="text1"/>
        </w:rPr>
        <w:t>.</w:t>
      </w:r>
    </w:p>
    <w:p w14:paraId="238DA7C7" w14:textId="77777777" w:rsidR="00FE2287" w:rsidRPr="00E4528F" w:rsidRDefault="00000000">
      <w:pPr>
        <w:rPr>
          <w:rFonts w:cs="Times New Roman"/>
          <w:color w:val="000000" w:themeColor="text1"/>
        </w:rPr>
      </w:pPr>
      <w:r w:rsidRPr="00E4528F">
        <w:rPr>
          <w:rFonts w:cs="Times New Roman"/>
          <w:color w:val="000000" w:themeColor="text1"/>
        </w:rPr>
        <w:t>The full path was tested through a prototype that uses an Ethereum Sepolia registry, IPFS content addressing, private PostgreSQL storage, Kafka and an XGBoost worker. It is a research prototype that can be inspected and criticised, not a finished insurance product.</w:t>
      </w:r>
    </w:p>
    <w:p w14:paraId="0C6A380A" w14:textId="77777777" w:rsidR="00FE2287" w:rsidRPr="00E4528F" w:rsidRDefault="00000000">
      <w:pPr>
        <w:pStyle w:val="Heading2"/>
        <w:rPr>
          <w:rFonts w:ascii="Times New Roman" w:hAnsi="Times New Roman" w:cs="Times New Roman"/>
          <w:color w:val="000000" w:themeColor="text1"/>
          <w:sz w:val="32"/>
          <w:szCs w:val="32"/>
        </w:rPr>
      </w:pPr>
      <w:bookmarkStart w:id="8" w:name="bm_s1_2"/>
      <w:r w:rsidRPr="00E4528F">
        <w:rPr>
          <w:rFonts w:ascii="Times New Roman" w:hAnsi="Times New Roman" w:cs="Times New Roman"/>
          <w:color w:val="000000" w:themeColor="text1"/>
          <w:sz w:val="32"/>
          <w:szCs w:val="32"/>
        </w:rPr>
        <w:t>1.2 Problem statement</w:t>
      </w:r>
      <w:bookmarkEnd w:id="8"/>
    </w:p>
    <w:p w14:paraId="61F49AB1" w14:textId="37AE6587" w:rsidR="00FE2287" w:rsidRPr="00E4528F" w:rsidRDefault="00000000">
      <w:pPr>
        <w:rPr>
          <w:rFonts w:cs="Times New Roman"/>
          <w:color w:val="000000" w:themeColor="text1"/>
        </w:rPr>
      </w:pPr>
      <w:r w:rsidRPr="00E4528F">
        <w:rPr>
          <w:rFonts w:cs="Times New Roman"/>
          <w:color w:val="000000" w:themeColor="text1"/>
        </w:rPr>
        <w:t xml:space="preserve">Blockchain insurance studies often focus on settlement, smart-contract execution or record integrity. Machine-learning studies usually begin with an already clean and trusted dataset </w:t>
      </w:r>
      <w:sdt>
        <w:sdtPr>
          <w:rPr>
            <w:rFonts w:cs="Times New Roman"/>
            <w:color w:val="000000" w:themeColor="text1"/>
          </w:rPr>
          <w:id w:val="12000000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Sch24</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Schrijver, Sarmah and El-Hajj, 2024)</w:t>
          </w:r>
          <w:r w:rsidRPr="00E4528F">
            <w:rPr>
              <w:rFonts w:cs="Times New Roman"/>
              <w:color w:val="000000" w:themeColor="text1"/>
            </w:rPr>
            <w:fldChar w:fldCharType="end"/>
          </w:r>
        </w:sdtContent>
      </w:sdt>
      <w:r w:rsidRPr="00E4528F">
        <w:rPr>
          <w:rFonts w:cs="Times New Roman"/>
          <w:color w:val="000000" w:themeColor="text1"/>
        </w:rPr>
        <w:t>. This leaves an important gap. A model can produce a reproducible score from a record with an unclear history. In the opposite case, a ledger can preserve a claim reference without providing the timely and structured features needed by the model. A combined system must also handle identity, privacy</w:t>
      </w:r>
      <w:r w:rsidR="00E66B75" w:rsidRPr="00E4528F">
        <w:rPr>
          <w:rFonts w:cs="Times New Roman"/>
          <w:color w:val="000000" w:themeColor="text1"/>
        </w:rPr>
        <w:t xml:space="preserve">, </w:t>
      </w:r>
      <w:r w:rsidRPr="00E4528F">
        <w:rPr>
          <w:rFonts w:cs="Times New Roman"/>
          <w:color w:val="000000" w:themeColor="text1"/>
        </w:rPr>
        <w:t>duplicate matching, delayed messages, replay and recovery.</w:t>
      </w:r>
    </w:p>
    <w:p w14:paraId="7FDF67F1" w14:textId="77777777" w:rsidR="00FE2287" w:rsidRPr="00E4528F" w:rsidRDefault="00000000">
      <w:pPr>
        <w:rPr>
          <w:rFonts w:cs="Times New Roman"/>
          <w:color w:val="000000" w:themeColor="text1"/>
        </w:rPr>
      </w:pPr>
      <w:r w:rsidRPr="00E4528F">
        <w:rPr>
          <w:rFonts w:cs="Times New Roman"/>
          <w:color w:val="000000" w:themeColor="text1"/>
        </w:rPr>
        <w:t xml:space="preserve">This study focuses on creating a verifiable claim lifecycle that can feed an explainable fraud-screening pipeline while keeping sensitive details off a public ledger. Several trust boundaries must be checked. A request reaching an API must not automatically become an insurer transaction. Uploaded content must match the expected CID and hash. A listener restart must not lose a blockchain event, and a repeated Kafka message must not </w:t>
      </w:r>
      <w:r w:rsidRPr="00E4528F">
        <w:rPr>
          <w:rFonts w:cs="Times New Roman"/>
          <w:color w:val="000000" w:themeColor="text1"/>
        </w:rPr>
        <w:lastRenderedPageBreak/>
        <w:t>create a second assessment. A high score must remain a signal for review, not an accusation.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E4528F" w14:paraId="72B6FD65" w14:textId="77777777">
        <w:trPr>
          <w:jc w:val="center"/>
        </w:trPr>
        <w:tc>
          <w:tcPr>
            <w:tcW w:w="8640" w:type="dxa"/>
            <w:shd w:val="clear" w:color="auto" w:fill="D9EAF7"/>
            <w:tcMar>
              <w:top w:w="130" w:type="dxa"/>
              <w:left w:w="150" w:type="dxa"/>
              <w:bottom w:w="130" w:type="dxa"/>
              <w:right w:w="150" w:type="dxa"/>
            </w:tcMar>
          </w:tcPr>
          <w:p w14:paraId="38A37B1E" w14:textId="77777777" w:rsidR="00FE2287" w:rsidRPr="00E4528F" w:rsidRDefault="00000000">
            <w:pPr>
              <w:spacing w:after="0" w:line="276" w:lineRule="auto"/>
              <w:rPr>
                <w:rFonts w:cs="Times New Roman"/>
                <w:color w:val="000000" w:themeColor="text1"/>
              </w:rPr>
            </w:pPr>
            <w:r w:rsidRPr="00E4528F">
              <w:rPr>
                <w:rFonts w:cs="Times New Roman"/>
                <w:b/>
                <w:color w:val="000000" w:themeColor="text1"/>
                <w:sz w:val="21"/>
              </w:rPr>
              <w:t xml:space="preserve">Central argument. </w:t>
            </w:r>
            <w:r w:rsidRPr="00E4528F">
              <w:rPr>
                <w:rFonts w:cs="Times New Roman"/>
                <w:color w:val="000000" w:themeColor="text1"/>
                <w:sz w:val="21"/>
              </w:rPr>
              <w:t>The useful contribution is not ‘blockchain plus AI’ as a slogan. It is an explicit chain of custody from authorised submission, through replay-aware event delivery and deterministic feature construction, to a versioned score that can be inspected by a human reviewer.</w:t>
            </w:r>
          </w:p>
        </w:tc>
      </w:tr>
    </w:tbl>
    <w:p w14:paraId="7124012D" w14:textId="77777777" w:rsidR="00FE2287" w:rsidRPr="00E4528F" w:rsidRDefault="00FE2287">
      <w:pPr>
        <w:spacing w:after="0"/>
        <w:rPr>
          <w:rFonts w:cs="Times New Roman"/>
          <w:color w:val="000000" w:themeColor="text1"/>
        </w:rPr>
      </w:pPr>
    </w:p>
    <w:p w14:paraId="0D4E145C" w14:textId="77777777" w:rsidR="00FE2287" w:rsidRPr="00E4528F" w:rsidRDefault="00000000">
      <w:pPr>
        <w:pStyle w:val="Heading2"/>
        <w:rPr>
          <w:rFonts w:ascii="Times New Roman" w:hAnsi="Times New Roman" w:cs="Times New Roman"/>
          <w:color w:val="000000" w:themeColor="text1"/>
          <w:sz w:val="32"/>
          <w:szCs w:val="32"/>
        </w:rPr>
      </w:pPr>
      <w:bookmarkStart w:id="9" w:name="bm_s1_3"/>
      <w:r w:rsidRPr="00E4528F">
        <w:rPr>
          <w:rFonts w:ascii="Times New Roman" w:hAnsi="Times New Roman" w:cs="Times New Roman"/>
          <w:color w:val="000000" w:themeColor="text1"/>
          <w:sz w:val="32"/>
          <w:szCs w:val="32"/>
        </w:rPr>
        <w:t>1.3 Research question and objectives</w:t>
      </w:r>
      <w:bookmarkEnd w:id="9"/>
    </w:p>
    <w:p w14:paraId="333DC621" w14:textId="5D25D82D" w:rsidR="00E4528F" w:rsidRPr="00E4528F" w:rsidRDefault="00000000">
      <w:pPr>
        <w:rPr>
          <w:rFonts w:cs="Times New Roman"/>
          <w:color w:val="000000" w:themeColor="text1"/>
        </w:rPr>
      </w:pPr>
      <w:r w:rsidRPr="00E4528F">
        <w:rPr>
          <w:rFonts w:cs="Times New Roman"/>
          <w:color w:val="000000" w:themeColor="text1"/>
        </w:rPr>
        <w:t>The investigation is guided by the following research question: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E4528F" w14:paraId="211943C8" w14:textId="77777777">
        <w:trPr>
          <w:jc w:val="center"/>
        </w:trPr>
        <w:tc>
          <w:tcPr>
            <w:tcW w:w="8640" w:type="dxa"/>
            <w:shd w:val="clear" w:color="auto" w:fill="D9EAF7"/>
            <w:tcMar>
              <w:top w:w="130" w:type="dxa"/>
              <w:left w:w="150" w:type="dxa"/>
              <w:bottom w:w="130" w:type="dxa"/>
              <w:right w:w="150" w:type="dxa"/>
            </w:tcMar>
          </w:tcPr>
          <w:p w14:paraId="674D71F2" w14:textId="77777777" w:rsidR="00FE2287" w:rsidRPr="00E4528F" w:rsidRDefault="00000000">
            <w:pPr>
              <w:spacing w:after="0" w:line="276" w:lineRule="auto"/>
              <w:rPr>
                <w:rFonts w:cs="Times New Roman"/>
                <w:color w:val="000000" w:themeColor="text1"/>
              </w:rPr>
            </w:pPr>
            <w:r w:rsidRPr="00E4528F">
              <w:rPr>
                <w:rFonts w:cs="Times New Roman"/>
                <w:b/>
                <w:color w:val="000000" w:themeColor="text1"/>
                <w:sz w:val="21"/>
              </w:rPr>
              <w:t xml:space="preserve">Research question. </w:t>
            </w:r>
            <w:r w:rsidRPr="00E4528F">
              <w:rPr>
                <w:rFonts w:cs="Times New Roman"/>
                <w:color w:val="000000" w:themeColor="text1"/>
                <w:sz w:val="21"/>
              </w:rPr>
              <w:t>How can a decentralised claims registry be designed and evaluated to provide verifiable, AI-ready insurance claim events for explainable fraud screening, while limiting the disclosure of sensitive information?</w:t>
            </w:r>
          </w:p>
        </w:tc>
      </w:tr>
    </w:tbl>
    <w:p w14:paraId="614A1497" w14:textId="77777777" w:rsidR="00FE2287" w:rsidRPr="00E4528F" w:rsidRDefault="00FE2287">
      <w:pPr>
        <w:spacing w:after="0"/>
        <w:rPr>
          <w:rFonts w:cs="Times New Roman"/>
          <w:color w:val="000000" w:themeColor="text1"/>
        </w:rPr>
      </w:pPr>
    </w:p>
    <w:p w14:paraId="7204C2E3" w14:textId="77777777" w:rsidR="00FE2287" w:rsidRPr="00E4528F" w:rsidRDefault="00000000">
      <w:pPr>
        <w:keepLines/>
        <w:rPr>
          <w:rFonts w:cs="Times New Roman"/>
          <w:color w:val="000000" w:themeColor="text1"/>
        </w:rPr>
      </w:pPr>
      <w:r w:rsidRPr="00E4528F">
        <w:rPr>
          <w:rFonts w:cs="Times New Roman"/>
          <w:b/>
          <w:color w:val="000000" w:themeColor="text1"/>
        </w:rPr>
        <w:t>O1 — Synthesis.</w:t>
      </w:r>
      <w:r w:rsidRPr="00E4528F">
        <w:rPr>
          <w:rFonts w:cs="Times New Roman"/>
          <w:color w:val="000000" w:themeColor="text1"/>
        </w:rPr>
        <w:t xml:space="preserve"> Critically examine research on blockchain insurance, fraud analytics, explainability and event-driven data processing, identifying the unresolved integration problem.</w:t>
      </w:r>
    </w:p>
    <w:p w14:paraId="3BB57D18" w14:textId="77777777" w:rsidR="00FE2287" w:rsidRPr="00E4528F" w:rsidRDefault="00000000">
      <w:pPr>
        <w:keepLines/>
        <w:rPr>
          <w:rFonts w:cs="Times New Roman"/>
          <w:color w:val="000000" w:themeColor="text1"/>
        </w:rPr>
      </w:pPr>
      <w:r w:rsidRPr="00E4528F">
        <w:rPr>
          <w:rFonts w:cs="Times New Roman"/>
          <w:b/>
          <w:color w:val="000000" w:themeColor="text1"/>
        </w:rPr>
        <w:t>O2 — Design.</w:t>
      </w:r>
      <w:r w:rsidRPr="00E4528F">
        <w:rPr>
          <w:rFonts w:cs="Times New Roman"/>
          <w:color w:val="000000" w:themeColor="text1"/>
        </w:rPr>
        <w:t xml:space="preserve"> Define a privacy-aware architecture and threat model that separates public verification data from private claim content and makes authorisation boundaries explicit.</w:t>
      </w:r>
    </w:p>
    <w:p w14:paraId="3C8CDA82" w14:textId="77777777" w:rsidR="00FE2287" w:rsidRPr="00E4528F" w:rsidRDefault="00000000">
      <w:pPr>
        <w:keepLines/>
        <w:rPr>
          <w:rFonts w:cs="Times New Roman"/>
          <w:color w:val="000000" w:themeColor="text1"/>
        </w:rPr>
      </w:pPr>
      <w:r w:rsidRPr="00E4528F">
        <w:rPr>
          <w:rFonts w:cs="Times New Roman"/>
          <w:b/>
          <w:color w:val="000000" w:themeColor="text1"/>
        </w:rPr>
        <w:t>O3 — Implementation.</w:t>
      </w:r>
      <w:r w:rsidRPr="00E4528F">
        <w:rPr>
          <w:rFonts w:cs="Times New Roman"/>
          <w:color w:val="000000" w:themeColor="text1"/>
        </w:rPr>
        <w:t xml:space="preserve"> Build an end-to-end prototype covering claim submission, on-chain lifecycle events, asynchronous processing, duplicate screening, model scoring and explanation.</w:t>
      </w:r>
    </w:p>
    <w:p w14:paraId="02A79070" w14:textId="77777777" w:rsidR="00FE2287" w:rsidRPr="00E4528F" w:rsidRDefault="00000000">
      <w:pPr>
        <w:keepLines/>
        <w:rPr>
          <w:rFonts w:cs="Times New Roman"/>
          <w:color w:val="000000" w:themeColor="text1"/>
        </w:rPr>
      </w:pPr>
      <w:r w:rsidRPr="00E4528F">
        <w:rPr>
          <w:rFonts w:cs="Times New Roman"/>
          <w:b/>
          <w:color w:val="000000" w:themeColor="text1"/>
        </w:rPr>
        <w:t>O4 — Evaluation.</w:t>
      </w:r>
      <w:r w:rsidRPr="00E4528F">
        <w:rPr>
          <w:rFonts w:cs="Times New Roman"/>
          <w:color w:val="000000" w:themeColor="text1"/>
        </w:rPr>
        <w:t xml:space="preserve"> Evaluate predictive behaviour and software correctness using reproducible splits, operationally meaningful metrics and automated verification suites.</w:t>
      </w:r>
    </w:p>
    <w:p w14:paraId="715CB8AE" w14:textId="77777777" w:rsidR="00FE2287" w:rsidRPr="00E4528F" w:rsidRDefault="00000000">
      <w:pPr>
        <w:keepLines/>
        <w:rPr>
          <w:rFonts w:cs="Times New Roman"/>
          <w:color w:val="000000" w:themeColor="text1"/>
        </w:rPr>
      </w:pPr>
      <w:r w:rsidRPr="00E4528F">
        <w:rPr>
          <w:rFonts w:cs="Times New Roman"/>
          <w:b/>
          <w:color w:val="000000" w:themeColor="text1"/>
        </w:rPr>
        <w:t>O5 — Critical assessment.</w:t>
      </w:r>
      <w:r w:rsidRPr="00E4528F">
        <w:rPr>
          <w:rFonts w:cs="Times New Roman"/>
          <w:color w:val="000000" w:themeColor="text1"/>
        </w:rPr>
        <w:t xml:space="preserve"> Determine which claims about verifiability, AI readiness, privacy and scalability are supported by evidence, and identify what remains unproven.</w:t>
      </w:r>
    </w:p>
    <w:p w14:paraId="0D25DA8F" w14:textId="77777777" w:rsidR="00FE2287" w:rsidRPr="00E4528F" w:rsidRDefault="00000000">
      <w:pPr>
        <w:pStyle w:val="Heading2"/>
        <w:rPr>
          <w:rFonts w:ascii="Times New Roman" w:hAnsi="Times New Roman" w:cs="Times New Roman"/>
          <w:color w:val="000000" w:themeColor="text1"/>
          <w:sz w:val="32"/>
          <w:szCs w:val="32"/>
        </w:rPr>
      </w:pPr>
      <w:bookmarkStart w:id="10" w:name="bm_s1_4"/>
      <w:r w:rsidRPr="00E4528F">
        <w:rPr>
          <w:rFonts w:ascii="Times New Roman" w:hAnsi="Times New Roman" w:cs="Times New Roman"/>
          <w:color w:val="000000" w:themeColor="text1"/>
          <w:sz w:val="32"/>
          <w:szCs w:val="32"/>
        </w:rPr>
        <w:t>1.4 Contributions</w:t>
      </w:r>
      <w:bookmarkEnd w:id="10"/>
    </w:p>
    <w:p w14:paraId="003E6736" w14:textId="7096D304" w:rsidR="00FE2287" w:rsidRPr="00E4528F" w:rsidRDefault="00000000">
      <w:pPr>
        <w:rPr>
          <w:rFonts w:cs="Times New Roman"/>
          <w:color w:val="000000" w:themeColor="text1"/>
        </w:rPr>
      </w:pPr>
      <w:r>
        <w:rPr>
          <w:rFonts w:cs="Times New Roman"/>
          <w:color w:val="000000" w:themeColor="text1"/>
        </w:rPr>
        <w:t xml:space="preserve">First, the project implements the architecture rather than stopping at a conceptual diagram. A claimant or authorised representative authenticates a wallet, the policy adapter checks eligibility and the backend issues a short-lived, single-use insurer permit. The claimant </w:t>
      </w:r>
      <w:r>
        <w:rPr>
          <w:rFonts w:cs="Times New Roman"/>
          <w:color w:val="000000" w:themeColor="text1"/>
        </w:rPr>
        <w:lastRenderedPageBreak/>
        <w:t>signs the exact forwarding request and the relayer pays test-network gas without gaining business authority. The registry records the claimant, submitter and insurer separately. The API, outbox, listener and worker then expose where each trust decision and durable side effect occurs.</w:t>
      </w:r>
    </w:p>
    <w:p w14:paraId="750A2C20" w14:textId="6EF39D92" w:rsidR="00FE2287" w:rsidRPr="00E4528F" w:rsidRDefault="00000000">
      <w:pPr>
        <w:rPr>
          <w:rFonts w:cs="Times New Roman"/>
          <w:color w:val="000000" w:themeColor="text1"/>
        </w:rPr>
      </w:pPr>
      <w:r w:rsidRPr="00E4528F">
        <w:rPr>
          <w:rFonts w:cs="Times New Roman"/>
          <w:color w:val="000000" w:themeColor="text1"/>
        </w:rPr>
        <w:t>Second, the design keeps the on-chain record deliberately small: claim identifier, insurer, bounded content reference, content hash, lifecycle state and assessment metadata. Raw attributes, policy references, free text and evidence files remain off-chain. In this design the ledger is a verification surface, not the operational database. A hash or content identifier is not treated as anonymous.</w:t>
      </w:r>
      <w:r w:rsidR="00E611D0">
        <w:rPr>
          <w:rFonts w:cs="Times New Roman"/>
          <w:color w:val="000000" w:themeColor="text1"/>
        </w:rPr>
        <w:t/>
      </w:r>
      <w:r w:rsidRPr="00E4528F">
        <w:rPr>
          <w:rFonts w:cs="Times New Roman"/>
          <w:color w:val="000000" w:themeColor="text1"/>
        </w:rPr>
        <w:t xml:space="preserve"> </w:t>
      </w:r>
      <w:r w:rsidR="00E611D0">
        <w:rPr>
          <w:rFonts w:cs="Times New Roman"/>
          <w:color w:val="000000" w:themeColor="text1"/>
        </w:rPr>
        <w:t>B</w:t>
      </w:r>
      <w:r w:rsidRPr="00E4528F">
        <w:rPr>
          <w:rFonts w:cs="Times New Roman"/>
          <w:color w:val="000000" w:themeColor="text1"/>
        </w:rPr>
        <w:t>oth can remain linkable and require governance.</w:t>
      </w:r>
    </w:p>
    <w:p w14:paraId="224BB998" w14:textId="77777777" w:rsidR="00FE2287" w:rsidRPr="00E4528F" w:rsidRDefault="00000000">
      <w:pPr>
        <w:rPr>
          <w:rFonts w:cs="Times New Roman"/>
          <w:color w:val="000000" w:themeColor="text1"/>
        </w:rPr>
      </w:pPr>
      <w:r w:rsidRPr="00E4528F">
        <w:rPr>
          <w:rFonts w:cs="Times New Roman"/>
          <w:color w:val="000000" w:themeColor="text1"/>
        </w:rPr>
        <w:t>Third, the analytical path was designed around replay rather than the assumption that each event arrives only once. The listener advances its checkpoint only after a block range is persisted and Kafka acknowledges publication. The worker commits its offset after the assessment and status side effects. Deterministic event identities and completed-result reuse make redelivery safe within those boundaries. This matters because neither a blockchain node nor Kafka provides a universal ‘exactly once’ guarantee across the whole system.</w:t>
      </w:r>
    </w:p>
    <w:p w14:paraId="4E1BC892" w14:textId="63655D11" w:rsidR="00FE2287" w:rsidRPr="00E4528F" w:rsidRDefault="00000000">
      <w:pPr>
        <w:rPr>
          <w:rFonts w:cs="Times New Roman"/>
          <w:color w:val="000000" w:themeColor="text1"/>
        </w:rPr>
      </w:pPr>
      <w:r w:rsidRPr="00E4528F">
        <w:rPr>
          <w:rFonts w:cs="Times New Roman"/>
          <w:color w:val="000000" w:themeColor="text1"/>
        </w:rPr>
        <w:t>The final contribution is empirical and less flattering to the chosen complex model. Logistic regression and XGBoost were tested on the same chronological hold-out. XGBoost increased recall, but it performed worse on PR-AUC and F1 and generated many more false positives. This result was retained because hiding it would make the evaluation less useful</w:t>
      </w:r>
      <w:r w:rsidR="00B135ED">
        <w:rPr>
          <w:rFonts w:cs="Times New Roman"/>
          <w:color w:val="000000" w:themeColor="text1"/>
        </w:rPr>
        <w:t>. A</w:t>
      </w:r>
      <w:r w:rsidRPr="00E4528F">
        <w:rPr>
          <w:rFonts w:cs="Times New Roman"/>
          <w:color w:val="000000" w:themeColor="text1"/>
        </w:rPr>
        <w:t xml:space="preserve"> claims team needs to see the workload created by a threshold, not simply the name of the more sophisticated model.</w:t>
      </w:r>
    </w:p>
    <w:p w14:paraId="1AEA6667" w14:textId="77777777" w:rsidR="00FE2287" w:rsidRPr="00E4528F" w:rsidRDefault="00000000">
      <w:pPr>
        <w:pStyle w:val="Heading2"/>
        <w:rPr>
          <w:rFonts w:ascii="Times New Roman" w:hAnsi="Times New Roman" w:cs="Times New Roman"/>
          <w:color w:val="000000" w:themeColor="text1"/>
          <w:sz w:val="32"/>
          <w:szCs w:val="32"/>
        </w:rPr>
      </w:pPr>
      <w:bookmarkStart w:id="11" w:name="bm_s1_5"/>
      <w:r w:rsidRPr="00E4528F">
        <w:rPr>
          <w:rFonts w:ascii="Times New Roman" w:hAnsi="Times New Roman" w:cs="Times New Roman"/>
          <w:color w:val="000000" w:themeColor="text1"/>
          <w:sz w:val="32"/>
          <w:szCs w:val="32"/>
        </w:rPr>
        <w:t>1.5 Scope and boundaries</w:t>
      </w:r>
      <w:bookmarkEnd w:id="11"/>
    </w:p>
    <w:p w14:paraId="2D673D55" w14:textId="7799011C" w:rsidR="00FE2287" w:rsidRPr="00E4528F" w:rsidRDefault="00000000">
      <w:pPr>
        <w:rPr>
          <w:rFonts w:cs="Times New Roman"/>
          <w:color w:val="000000" w:themeColor="text1"/>
        </w:rPr>
      </w:pPr>
      <w:r>
        <w:rPr>
          <w:rFonts w:cs="Times New Roman"/>
          <w:color w:val="000000" w:themeColor="text1"/>
        </w:rPr>
        <w:t>The scope is fictional motor-insurance claim registration and screening. The prototype supports policy-backed public intake, gas-sponsored registration, lifecycle observation, model scoring with SHAP context, private exact-match duplicate screening and append-only human investigative outcomes. Here, public intake means that any eligible claimant or authorised representative may begin the process</w:t>
      </w:r>
      <w:r w:rsidR="00B135ED">
        <w:rPr>
          <w:rFonts w:cs="Times New Roman"/>
          <w:color w:val="000000" w:themeColor="text1"/>
        </w:rPr>
        <w:t>.</w:t>
      </w:r>
      <w:r>
        <w:rPr>
          <w:rFonts w:cs="Times New Roman"/>
          <w:color w:val="000000" w:themeColor="text1"/>
        </w:rPr>
        <w:t xml:space="preserve"> </w:t>
      </w:r>
      <w:r w:rsidR="00B135ED">
        <w:rPr>
          <w:rFonts w:cs="Times New Roman"/>
          <w:color w:val="000000" w:themeColor="text1"/>
        </w:rPr>
        <w:t>I</w:t>
      </w:r>
      <w:r>
        <w:rPr>
          <w:rFonts w:cs="Times New Roman"/>
          <w:color w:val="000000" w:themeColor="text1"/>
        </w:rPr>
        <w:t xml:space="preserve">t does not mean that an arbitrary wallet can register an arbitrary policy. The human outcome is not an Approved or Rejected claim decision and does not alter Sepolia state. The system does not adjudicate liability, automate payment, prove fraud or replace an investigator. Claim JSON is </w:t>
      </w:r>
      <w:r>
        <w:rPr>
          <w:rFonts w:cs="Times New Roman"/>
          <w:color w:val="000000" w:themeColor="text1"/>
        </w:rPr>
        <w:lastRenderedPageBreak/>
        <w:t>uploaded to public, unencrypted IPFS and must therefore remain fictional. The deployment target is Sepolia, and the documented cloud topology remains a single research virtual machine.</w:t>
      </w:r>
    </w:p>
    <w:p w14:paraId="6CA8BD65" w14:textId="77777777" w:rsidR="00FE2287" w:rsidRPr="00E4528F" w:rsidRDefault="00000000">
      <w:pPr>
        <w:rPr>
          <w:rFonts w:cs="Times New Roman"/>
          <w:color w:val="000000" w:themeColor="text1"/>
        </w:rPr>
      </w:pPr>
      <w:r w:rsidRPr="00E4528F">
        <w:rPr>
          <w:rFonts w:cs="Times New Roman"/>
          <w:color w:val="000000" w:themeColor="text1"/>
        </w:rPr>
        <w:t xml:space="preserve">The model uses about 100,000 synthetic African motor-insurance records. Synthetic data supports reproducible development without exposing real claimants, but it cannot reproduce every pattern found in a real portfolio and it is not automatically private </w:t>
      </w:r>
      <w:sdt>
        <w:sdtPr>
          <w:rPr>
            <w:rFonts w:cs="Times New Roman"/>
            <w:color w:val="000000" w:themeColor="text1"/>
          </w:rPr>
          <w:id w:val="12000000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Sta22 \l 1033 </w:instrText>
          </w:r>
          <w:r w:rsidRPr="00E4528F">
            <w:rPr>
              <w:rFonts w:cs="Times New Roman"/>
              <w:color w:val="000000" w:themeColor="text1"/>
            </w:rPr>
            <w:fldChar w:fldCharType="separate"/>
          </w:r>
          <w:r w:rsidRPr="00E4528F">
            <w:rPr>
              <w:rFonts w:cs="Times New Roman"/>
              <w:noProof/>
              <w:color w:val="000000" w:themeColor="text1"/>
            </w:rPr>
            <w:t>(Stadler, Oprisanu and Troncoso, 2022)</w:t>
          </w:r>
          <w:r w:rsidRPr="00E4528F">
            <w:rPr>
              <w:rFonts w:cs="Times New Roman"/>
              <w:color w:val="000000" w:themeColor="text1"/>
            </w:rPr>
            <w:fldChar w:fldCharType="end"/>
          </w:r>
        </w:sdtContent>
      </w:sdt>
      <w:r w:rsidRPr="00E4528F">
        <w:rPr>
          <w:rFonts w:cs="Times New Roman"/>
          <w:color w:val="000000" w:themeColor="text1"/>
        </w:rPr>
        <w:t xml:space="preserve">. The reported performance therefore applies only to this dataset and split. It should not be treated as a result for the wider insurance market. IPFS is used for content-addressed storage, but real personal or evidential claim data must never be placed on public, unencrypted IPFS in this prototype </w:t>
      </w:r>
      <w:sdt>
        <w:sdtPr>
          <w:rPr>
            <w:rFonts w:cs="Times New Roman"/>
            <w:color w:val="000000" w:themeColor="text1"/>
          </w:rPr>
          <w:id w:val="12000000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w:t>
      </w:r>
    </w:p>
    <w:p w14:paraId="2076AB87" w14:textId="77777777" w:rsidR="00FE2287" w:rsidRPr="00E4528F" w:rsidRDefault="00000000">
      <w:pPr>
        <w:rPr>
          <w:rFonts w:cs="Times New Roman"/>
          <w:color w:val="000000" w:themeColor="text1"/>
        </w:rPr>
      </w:pPr>
      <w:r w:rsidRPr="00E4528F">
        <w:rPr>
          <w:rFonts w:cs="Times New Roman"/>
          <w:color w:val="000000" w:themeColor="text1"/>
        </w:rPr>
        <w:t>The study did not include a controlled performance benchmark. The code and automated tests show behaviour under the tested conditions, but they do not show production throughput, end-to-end latency, recovery time, gas-cost distribution or performance with several insurers. Scalability is therefore discussed as a design goal and a future experiment, not as a measured result.</w:t>
      </w:r>
    </w:p>
    <w:p w14:paraId="039F19D0" w14:textId="77777777" w:rsidR="00FE2287" w:rsidRPr="00E4528F" w:rsidRDefault="00000000">
      <w:pPr>
        <w:pStyle w:val="Heading2"/>
        <w:rPr>
          <w:rFonts w:ascii="Times New Roman" w:hAnsi="Times New Roman" w:cs="Times New Roman"/>
          <w:color w:val="000000" w:themeColor="text1"/>
          <w:sz w:val="32"/>
          <w:szCs w:val="32"/>
        </w:rPr>
      </w:pPr>
      <w:bookmarkStart w:id="12" w:name="bm_s1_6"/>
      <w:r w:rsidRPr="00E4528F">
        <w:rPr>
          <w:rFonts w:ascii="Times New Roman" w:hAnsi="Times New Roman" w:cs="Times New Roman"/>
          <w:color w:val="000000" w:themeColor="text1"/>
          <w:sz w:val="32"/>
          <w:szCs w:val="32"/>
        </w:rPr>
        <w:t>1.6 Dissertation structure</w:t>
      </w:r>
      <w:bookmarkEnd w:id="12"/>
    </w:p>
    <w:p w14:paraId="09ADE3C8" w14:textId="77777777" w:rsidR="00FE2287" w:rsidRPr="00E4528F" w:rsidRDefault="00000000">
      <w:pPr>
        <w:rPr>
          <w:rFonts w:cs="Times New Roman"/>
          <w:color w:val="000000" w:themeColor="text1"/>
        </w:rPr>
      </w:pPr>
      <w:r w:rsidRPr="00E4528F">
        <w:rPr>
          <w:rFonts w:cs="Times New Roman"/>
          <w:color w:val="000000" w:themeColor="text1"/>
        </w:rPr>
        <w:t>Chapter 2 reviews the relevant blockchain, fraud-detection, explainability, privacy and event-processing literature and derives the research gap. Chapter 3 explains the design-science method, requirements, threat model, implemented architecture, modelling protocol and evaluation plan. Chapter 4 presents the implementation evidence and software verification, while Chapter 5 reports the experimental results. Chapter 6 interprets those findings and answers the research question. Chapter 7 concludes the study and prioritises future work. The appendices provide traceability, reproducibility information and explicit operational boundaries.</w:t>
      </w:r>
    </w:p>
    <w:p w14:paraId="6F08315E" w14:textId="77777777" w:rsidR="00FE2287" w:rsidRPr="00E4528F" w:rsidRDefault="00000000">
      <w:pPr>
        <w:pStyle w:val="Heading1"/>
        <w:pageBreakBefore/>
        <w:rPr>
          <w:rFonts w:ascii="Times New Roman" w:hAnsi="Times New Roman" w:cs="Times New Roman"/>
          <w:color w:val="000000" w:themeColor="text1"/>
          <w:sz w:val="40"/>
          <w:szCs w:val="40"/>
        </w:rPr>
      </w:pPr>
      <w:bookmarkStart w:id="13" w:name="bm_ch2"/>
      <w:r w:rsidRPr="00E4528F">
        <w:rPr>
          <w:rFonts w:ascii="Times New Roman" w:hAnsi="Times New Roman" w:cs="Times New Roman"/>
          <w:color w:val="000000" w:themeColor="text1"/>
          <w:sz w:val="40"/>
          <w:szCs w:val="40"/>
        </w:rPr>
        <w:lastRenderedPageBreak/>
        <w:t>Chapter 2: Literature Review</w:t>
      </w:r>
      <w:bookmarkEnd w:id="13"/>
    </w:p>
    <w:p w14:paraId="285AC874" w14:textId="77777777" w:rsidR="00FE2287" w:rsidRPr="00E4528F" w:rsidRDefault="00000000">
      <w:pPr>
        <w:rPr>
          <w:rFonts w:cs="Times New Roman"/>
          <w:color w:val="000000" w:themeColor="text1"/>
        </w:rPr>
      </w:pPr>
      <w:r w:rsidRPr="00E4528F">
        <w:rPr>
          <w:rFonts w:cs="Times New Roman"/>
          <w:color w:val="000000" w:themeColor="text1"/>
        </w:rPr>
        <w:t>This project brings together four areas of research: distributed ledgers in insurance, machine-learning fraud detection, reliable event processing and governance of explainable automated decisions. The literature review identifies what each area can support, what remains uncertain and where the implemented prototype adds evidence. The purpose is not to list fashionable technologies.</w:t>
      </w:r>
    </w:p>
    <w:p w14:paraId="3DC8D3CC" w14:textId="77777777" w:rsidR="00FE2287" w:rsidRPr="00E4528F" w:rsidRDefault="00000000">
      <w:pPr>
        <w:rPr>
          <w:rFonts w:cs="Times New Roman"/>
          <w:color w:val="000000" w:themeColor="text1"/>
        </w:rPr>
      </w:pPr>
      <w:r w:rsidRPr="00E4528F">
        <w:rPr>
          <w:rFonts w:cs="Times New Roman"/>
          <w:color w:val="000000" w:themeColor="text1"/>
        </w:rPr>
        <w:t>A structured narrative review was appropriate because the research question crosses insurance, machine learning, software engineering, technical standards and current regulation. The review focused on sources published between 2021 and 2026. Sources were included when they provided empirical evidence or an authoritative technical, methodological or legal requirement relevant to provenance, fraud triage, event delivery, privacy or human oversight. Vendor blogs and unreviewed commentary were not used as evidence for empirical claims. This should not be interpreted as a systematic review: no protocol was registered, not every database was searched, and no formal screening flow was used.</w:t>
      </w:r>
    </w:p>
    <w:p w14:paraId="5C7201CA" w14:textId="77777777" w:rsidR="00FE2287" w:rsidRPr="00E4528F" w:rsidRDefault="00000000">
      <w:pPr>
        <w:pStyle w:val="Heading2"/>
        <w:rPr>
          <w:rFonts w:ascii="Times New Roman" w:hAnsi="Times New Roman" w:cs="Times New Roman"/>
          <w:color w:val="000000" w:themeColor="text1"/>
          <w:sz w:val="32"/>
          <w:szCs w:val="32"/>
        </w:rPr>
      </w:pPr>
      <w:bookmarkStart w:id="14" w:name="bm_s2_1"/>
      <w:r w:rsidRPr="00E4528F">
        <w:rPr>
          <w:rFonts w:ascii="Times New Roman" w:hAnsi="Times New Roman" w:cs="Times New Roman"/>
          <w:color w:val="000000" w:themeColor="text1"/>
          <w:sz w:val="32"/>
          <w:szCs w:val="32"/>
        </w:rPr>
        <w:t>2.1 Distributed ledgers in insurance</w:t>
      </w:r>
      <w:bookmarkEnd w:id="14"/>
    </w:p>
    <w:p w14:paraId="1CBB8391" w14:textId="77777777" w:rsidR="00FE2287" w:rsidRPr="00E4528F" w:rsidRDefault="00000000">
      <w:pPr>
        <w:rPr>
          <w:rFonts w:cs="Times New Roman"/>
          <w:color w:val="000000" w:themeColor="text1"/>
        </w:rPr>
      </w:pPr>
      <w:r w:rsidRPr="00E4528F">
        <w:rPr>
          <w:rFonts w:cs="Times New Roman"/>
          <w:color w:val="000000" w:themeColor="text1"/>
        </w:rPr>
        <w:t xml:space="preserve">A blockchain keeps an ordered history that is agreed through the network's consensus rules. On a public smart-contract network, anyone can inspect included transactions and contract state, which makes unauthorised past changes difficult. This is useful when several parties need a shared history but do not fully trust one database owner. However, the blockchain cannot confirm that the submitted real-world information is true. It can show that an authorised identity recorded a value, not that an accident happened or that a document is genuine </w:t>
      </w:r>
      <w:sdt>
        <w:sdtPr>
          <w:rPr>
            <w:rFonts w:cs="Times New Roman"/>
            <w:color w:val="000000" w:themeColor="text1"/>
          </w:rPr>
          <w:id w:val="12000000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EDP26</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0B31BB4" w14:textId="77777777" w:rsidR="00FE2287" w:rsidRPr="00E4528F" w:rsidRDefault="00000000">
      <w:pPr>
        <w:rPr>
          <w:rFonts w:cs="Times New Roman"/>
          <w:color w:val="000000" w:themeColor="text1"/>
        </w:rPr>
      </w:pPr>
      <w:r w:rsidRPr="00E4528F">
        <w:rPr>
          <w:rFonts w:cs="Times New Roman"/>
          <w:color w:val="000000" w:themeColor="text1"/>
        </w:rPr>
        <w:t xml:space="preserve">Insurance research has applied smart contracts to submission, traceability, verification and settlement. Recent open studies show traceable claim workflows and blockchain-based controls for fraudulent healthcare claims </w:t>
      </w:r>
      <w:sdt>
        <w:sdtPr>
          <w:rPr>
            <w:rFonts w:cs="Times New Roman"/>
            <w:color w:val="000000" w:themeColor="text1"/>
          </w:rPr>
          <w:id w:val="12000000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Che21 \l 1033  \m Jen24</w:instrText>
          </w:r>
          <w:r w:rsidRPr="00E4528F">
            <w:rPr>
              <w:rFonts w:cs="Times New Roman"/>
              <w:color w:val="000000" w:themeColor="text1"/>
            </w:rPr>
            <w:fldChar w:fldCharType="separate"/>
          </w:r>
          <w:r w:rsidRPr="00E4528F">
            <w:rPr>
              <w:rFonts w:cs="Times New Roman"/>
              <w:noProof/>
              <w:color w:val="000000" w:themeColor="text1"/>
            </w:rPr>
            <w:t>(Chen et al., 2021; Jena et al., 2024)</w:t>
          </w:r>
          <w:r w:rsidRPr="00E4528F">
            <w:rPr>
              <w:rFonts w:cs="Times New Roman"/>
              <w:color w:val="000000" w:themeColor="text1"/>
            </w:rPr>
            <w:fldChar w:fldCharType="end"/>
          </w:r>
        </w:sdtContent>
      </w:sdt>
      <w:r w:rsidRPr="00E4528F">
        <w:rPr>
          <w:rFonts w:cs="Times New Roman"/>
          <w:color w:val="000000" w:themeColor="text1"/>
        </w:rPr>
        <w:t xml:space="preserve">. They show how contracts can formalise lifecycle rules and connect analytical services to shared records, but prototype results do not show field-level fraud reduction. Regulatory </w:t>
      </w:r>
      <w:r w:rsidRPr="00E4528F">
        <w:rPr>
          <w:rFonts w:cs="Times New Roman"/>
          <w:color w:val="000000" w:themeColor="text1"/>
        </w:rPr>
        <w:lastRenderedPageBreak/>
        <w:t xml:space="preserve">analysis reaches a similarly conditional conclusion: traceability and coordination are plausible benefits, yet privacy, governance, interoperability, legacy integration and use-case necessity remain material constraints </w:t>
      </w:r>
      <w:sdt>
        <w:sdtPr>
          <w:rPr>
            <w:rFonts w:cs="Times New Roman"/>
            <w:color w:val="000000" w:themeColor="text1"/>
          </w:rPr>
          <w:id w:val="12000000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w:t>
      </w:r>
    </w:p>
    <w:p w14:paraId="523AB3E9" w14:textId="77777777" w:rsidR="00FE2287" w:rsidRPr="00E4528F" w:rsidRDefault="00000000">
      <w:pPr>
        <w:rPr>
          <w:rFonts w:cs="Times New Roman"/>
          <w:color w:val="000000" w:themeColor="text1"/>
        </w:rPr>
      </w:pPr>
      <w:r w:rsidRPr="00E4528F">
        <w:rPr>
          <w:rFonts w:cs="Times New Roman"/>
          <w:color w:val="000000" w:themeColor="text1"/>
        </w:rPr>
        <w:t xml:space="preserve">Public-chain storage creates a clear privacy problem. Data copied to many nodes cannot be managed like a row in a private database, and later erasure may be impossible at protocol level. A hash or CID reduces exposure but does not automatically remove data-protection duties. A stable identifier may still be linked to a person or used to test guessed content. European guidance therefore recommends checking whether blockchain is necessary, avoiding on-chain personal data where possible and applying data protection from the design stage </w:t>
      </w:r>
      <w:sdt>
        <w:sdtPr>
          <w:rPr>
            <w:rFonts w:cs="Times New Roman"/>
            <w:color w:val="000000" w:themeColor="text1"/>
          </w:rPr>
          <w:id w:val="12000000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3114E496" w14:textId="77777777" w:rsidR="00FE2287" w:rsidRPr="00E4528F" w:rsidRDefault="00000000">
      <w:pPr>
        <w:rPr>
          <w:rFonts w:cs="Times New Roman"/>
          <w:color w:val="000000" w:themeColor="text1"/>
        </w:rPr>
      </w:pPr>
      <w:r w:rsidRPr="00E4528F">
        <w:rPr>
          <w:rFonts w:cs="Times New Roman"/>
          <w:color w:val="000000" w:themeColor="text1"/>
        </w:rPr>
        <w:t xml:space="preserve">Permissioned ledgers offer stronger membership controls and may better match a regulated consortium, while public networks provide broader independent verifiability and established tooling </w:t>
      </w:r>
      <w:sdt>
        <w:sdtPr>
          <w:rPr>
            <w:rFonts w:cs="Times New Roman"/>
            <w:color w:val="000000" w:themeColor="text1"/>
          </w:rPr>
          <w:id w:val="12000001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 This study uses Sepolia because the research objective is to show contract-level authorisation and observable events without production cost. The choice is a prototyping decision rather than a recommendation that insurers should publish customer-linked transactions to a public mainnet.</w:t>
      </w:r>
    </w:p>
    <w:p w14:paraId="09921A66" w14:textId="77777777" w:rsidR="00FE2287" w:rsidRPr="00E4528F" w:rsidRDefault="00000000">
      <w:pPr>
        <w:pStyle w:val="Heading2"/>
        <w:rPr>
          <w:rFonts w:ascii="Times New Roman" w:hAnsi="Times New Roman" w:cs="Times New Roman"/>
          <w:color w:val="000000" w:themeColor="text1"/>
          <w:sz w:val="32"/>
          <w:szCs w:val="32"/>
        </w:rPr>
      </w:pPr>
      <w:bookmarkStart w:id="15" w:name="bm_s2_2"/>
      <w:r w:rsidRPr="00E4528F">
        <w:rPr>
          <w:rFonts w:ascii="Times New Roman" w:hAnsi="Times New Roman" w:cs="Times New Roman"/>
          <w:color w:val="000000" w:themeColor="text1"/>
          <w:sz w:val="32"/>
          <w:szCs w:val="32"/>
        </w:rPr>
        <w:t>2.2 Machine learning for claim fraud</w:t>
      </w:r>
      <w:bookmarkEnd w:id="15"/>
    </w:p>
    <w:p w14:paraId="450B6E9B" w14:textId="77777777" w:rsidR="00FE2287" w:rsidRPr="00E4528F" w:rsidRDefault="00000000">
      <w:pPr>
        <w:rPr>
          <w:rFonts w:cs="Times New Roman"/>
          <w:color w:val="000000" w:themeColor="text1"/>
        </w:rPr>
      </w:pPr>
      <w:r w:rsidRPr="00E4528F">
        <w:rPr>
          <w:rFonts w:cs="Times New Roman"/>
          <w:color w:val="000000" w:themeColor="text1"/>
        </w:rPr>
        <w:t xml:space="preserve">Fraud detection is often presented as binary classification, but in practice it is a way to prioritise cases when investigators have limited time. Labels may reflect previous investigation choices rather than all fraud, confirmed cases are rare and the cost of missing fraud is different from delaying a genuine claim </w:t>
      </w:r>
      <w:sdt>
        <w:sdtPr>
          <w:rPr>
            <w:rFonts w:cs="Times New Roman"/>
            <w:color w:val="000000" w:themeColor="text1"/>
          </w:rPr>
          <w:id w:val="12000001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Car26</w:instrText>
          </w:r>
          <w:r w:rsidRPr="00E4528F">
            <w:rPr>
              <w:rFonts w:cs="Times New Roman"/>
              <w:color w:val="000000" w:themeColor="text1"/>
            </w:rPr>
            <w:fldChar w:fldCharType="separate"/>
          </w:r>
          <w:r w:rsidRPr="00E4528F">
            <w:rPr>
              <w:rFonts w:cs="Times New Roman"/>
              <w:noProof/>
              <w:color w:val="000000" w:themeColor="text1"/>
            </w:rPr>
            <w:t>(Schrijver, Sarmah and El-Hajj, 2024;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xml:space="preserve">. A useful model must be judged using prevalence, threshold choice, calibration and the number of cases the team can review. Recent insurance research therefore treats imbalance and thresholds as operational choices, not only as modelling details </w:t>
      </w:r>
      <w:sdt>
        <w:sdtPr>
          <w:rPr>
            <w:rFonts w:cs="Times New Roman"/>
            <w:color w:val="000000" w:themeColor="text1"/>
          </w:rPr>
          <w:id w:val="12000001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Car26 \l 1033 </w:instrText>
          </w:r>
          <w:r w:rsidRPr="00E4528F">
            <w:rPr>
              <w:rFonts w:cs="Times New Roman"/>
              <w:color w:val="000000" w:themeColor="text1"/>
            </w:rPr>
            <w:fldChar w:fldCharType="separate"/>
          </w:r>
          <w:r w:rsidRPr="00E4528F">
            <w:rPr>
              <w:rFonts w:cs="Times New Roman"/>
              <w:noProof/>
              <w:color w:val="000000" w:themeColor="text1"/>
            </w:rPr>
            <w:t>(Carracedo,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629F08F2" w14:textId="3994E3BE" w:rsidR="00FE2287" w:rsidRPr="00E4528F" w:rsidRDefault="00000000">
      <w:pPr>
        <w:rPr>
          <w:rFonts w:cs="Times New Roman"/>
          <w:color w:val="000000" w:themeColor="text1"/>
        </w:rPr>
      </w:pPr>
      <w:r w:rsidRPr="00E4528F">
        <w:rPr>
          <w:rFonts w:cs="Times New Roman"/>
          <w:color w:val="000000" w:themeColor="text1"/>
        </w:rPr>
        <w:t xml:space="preserve">The literature reports strong results from tree ensembles, boosting methods and hybrid approaches, but complexity is not a reliable proxy for operational value. Supervised and </w:t>
      </w:r>
      <w:r w:rsidRPr="00E4528F">
        <w:rPr>
          <w:rFonts w:cs="Times New Roman"/>
          <w:color w:val="000000" w:themeColor="text1"/>
        </w:rPr>
        <w:lastRenderedPageBreak/>
        <w:t>unsupervised signals can contribute complementary value when practitioners interpret the recommendations</w:t>
      </w:r>
      <w:r w:rsidR="0040184E">
        <w:rPr>
          <w:rFonts w:cs="Times New Roman"/>
          <w:color w:val="000000" w:themeColor="text1"/>
        </w:rPr>
        <w:t xml:space="preserve"> </w:t>
      </w:r>
      <w:r w:rsidRPr="00E4528F">
        <w:rPr>
          <w:rFonts w:cs="Times New Roman"/>
          <w:color w:val="000000" w:themeColor="text1"/>
        </w:rPr>
        <w:t xml:space="preserve">and recent imbalance-aware work has used real insurer data </w:t>
      </w:r>
      <w:sdt>
        <w:sdtPr>
          <w:rPr>
            <w:rFonts w:cs="Times New Roman"/>
            <w:color w:val="000000" w:themeColor="text1"/>
          </w:rPr>
          <w:id w:val="12000001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Car26</w:instrText>
          </w:r>
          <w:r w:rsidRPr="00E4528F">
            <w:rPr>
              <w:rFonts w:cs="Times New Roman"/>
              <w:color w:val="000000" w:themeColor="text1"/>
            </w:rPr>
            <w:fldChar w:fldCharType="separate"/>
          </w:r>
          <w:r w:rsidRPr="00E4528F">
            <w:rPr>
              <w:rFonts w:cs="Times New Roman"/>
              <w:noProof/>
              <w:color w:val="000000" w:themeColor="text1"/>
            </w:rPr>
            <w:t>(Debener, Heinke and Kriebel, 2023;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These studies show methodological potential rather than a transferable performance ceiling. Headline accuracy or F1 cannot be moved directly between datasets with different prevalence, sampling, leakage risk and label construction</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L</w:t>
      </w:r>
      <w:r w:rsidRPr="00E4528F">
        <w:rPr>
          <w:rFonts w:cs="Times New Roman"/>
          <w:color w:val="000000" w:themeColor="text1"/>
        </w:rPr>
        <w:t xml:space="preserve">imited public datasets and weak use of example-dependent costs remain recurring problems in automobile-fraud research </w:t>
      </w:r>
      <w:sdt>
        <w:sdtPr>
          <w:rPr>
            <w:rFonts w:cs="Times New Roman"/>
            <w:color w:val="000000" w:themeColor="text1"/>
          </w:rPr>
          <w:id w:val="12000001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w:instrText>
          </w:r>
          <w:r w:rsidRPr="00E4528F">
            <w:rPr>
              <w:rFonts w:cs="Times New Roman"/>
              <w:color w:val="000000" w:themeColor="text1"/>
            </w:rPr>
            <w:fldChar w:fldCharType="separate"/>
          </w:r>
          <w:r w:rsidRPr="00E4528F">
            <w:rPr>
              <w:rFonts w:cs="Times New Roman"/>
              <w:noProof/>
              <w:color w:val="000000" w:themeColor="text1"/>
            </w:rPr>
            <w:t>(Schrijver, Sarmah and El-Hajj, 2024)</w:t>
          </w:r>
          <w:r w:rsidRPr="00E4528F">
            <w:rPr>
              <w:rFonts w:cs="Times New Roman"/>
              <w:color w:val="000000" w:themeColor="text1"/>
            </w:rPr>
            <w:fldChar w:fldCharType="end"/>
          </w:r>
        </w:sdtContent>
      </w:sdt>
      <w:r w:rsidRPr="00E4528F">
        <w:rPr>
          <w:rFonts w:cs="Times New Roman"/>
          <w:color w:val="000000" w:themeColor="text1"/>
        </w:rPr>
        <w:t>.</w:t>
      </w:r>
    </w:p>
    <w:p w14:paraId="0A27278D" w14:textId="674606EF" w:rsidR="00FE2287" w:rsidRPr="00E4528F" w:rsidRDefault="00000000">
      <w:pPr>
        <w:rPr>
          <w:rFonts w:cs="Times New Roman"/>
          <w:color w:val="000000" w:themeColor="text1"/>
        </w:rPr>
      </w:pPr>
      <w:r w:rsidRPr="00E4528F">
        <w:rPr>
          <w:rFonts w:cs="Times New Roman"/>
          <w:color w:val="000000" w:themeColor="text1"/>
        </w:rPr>
        <w:t>Gradient-boosted trees are attractive for heterogeneous tabular data because they capture non-linear relationships and interactions</w:t>
      </w:r>
      <w:r w:rsidR="0040184E">
        <w:rPr>
          <w:rFonts w:cs="Times New Roman"/>
          <w:color w:val="000000" w:themeColor="text1"/>
        </w:rPr>
        <w:t xml:space="preserve"> </w:t>
      </w:r>
      <w:r w:rsidRPr="00E4528F">
        <w:rPr>
          <w:rFonts w:cs="Times New Roman"/>
          <w:color w:val="000000" w:themeColor="text1"/>
        </w:rPr>
        <w:t xml:space="preserve">while logistic regression remains a valuable transparent baseline. A more complex model should earn its operational cost through clearly better evidence. Rebalancing may help some training settings, although synthetic oversampling can introduce noise and reduce </w:t>
      </w:r>
      <w:r w:rsidR="0040184E" w:rsidRPr="00E4528F">
        <w:rPr>
          <w:rFonts w:cs="Times New Roman"/>
          <w:color w:val="000000" w:themeColor="text1"/>
        </w:rPr>
        <w:t>generalization</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R</w:t>
      </w:r>
      <w:r w:rsidRPr="00E4528F">
        <w:rPr>
          <w:rFonts w:cs="Times New Roman"/>
          <w:color w:val="000000" w:themeColor="text1"/>
        </w:rPr>
        <w:t xml:space="preserve">ecent insurance-specific work treats it as an empirical choice rather than a universal remedy </w:t>
      </w:r>
      <w:sdt>
        <w:sdtPr>
          <w:rPr>
            <w:rFonts w:cs="Times New Roman"/>
            <w:color w:val="000000" w:themeColor="text1"/>
          </w:rPr>
          <w:id w:val="12000001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Car26 \l 1033 </w:instrText>
          </w:r>
          <w:r w:rsidRPr="00E4528F">
            <w:rPr>
              <w:rFonts w:cs="Times New Roman"/>
              <w:color w:val="000000" w:themeColor="text1"/>
            </w:rPr>
            <w:fldChar w:fldCharType="separate"/>
          </w:r>
          <w:r w:rsidRPr="00E4528F">
            <w:rPr>
              <w:rFonts w:cs="Times New Roman"/>
              <w:noProof/>
              <w:color w:val="000000" w:themeColor="text1"/>
            </w:rPr>
            <w:t>(Carracedo,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More generally, leakage can make complex models appear superior to simple baselines</w:t>
      </w:r>
      <w:r w:rsidR="0040184E">
        <w:rPr>
          <w:rFonts w:cs="Times New Roman"/>
          <w:color w:val="000000" w:themeColor="text1"/>
        </w:rPr>
        <w:t xml:space="preserve"> </w:t>
      </w:r>
      <w:r w:rsidRPr="00E4528F">
        <w:rPr>
          <w:rFonts w:cs="Times New Roman"/>
          <w:color w:val="000000" w:themeColor="text1"/>
        </w:rPr>
        <w:t xml:space="preserve">so preprocessing and threshold selection must be confined to training and validation data </w:t>
      </w:r>
      <w:sdt>
        <w:sdtPr>
          <w:rPr>
            <w:rFonts w:cs="Times New Roman"/>
            <w:color w:val="000000" w:themeColor="text1"/>
          </w:rPr>
          <w:id w:val="12000001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1B24F476" w14:textId="77777777" w:rsidR="00FE2287" w:rsidRPr="00E4528F" w:rsidRDefault="00000000">
      <w:pPr>
        <w:rPr>
          <w:rFonts w:cs="Times New Roman"/>
          <w:color w:val="000000" w:themeColor="text1"/>
        </w:rPr>
      </w:pPr>
      <w:r w:rsidRPr="00E4528F">
        <w:rPr>
          <w:rFonts w:cs="Times New Roman"/>
          <w:color w:val="000000" w:themeColor="text1"/>
        </w:rPr>
        <w:t xml:space="preserve">Explainability is necessary but should be described precisely. SHAP can help an investigator see which fitted-model features moved a claim score and can expose implausible dependencies during validation. It does not show causality, prove fraud or make a discriminatory model fair. NIST distinguishes producing an explanation from ensuring that it is meaningful and correctly understood by its recipient </w:t>
      </w:r>
      <w:sdt>
        <w:sdtPr>
          <w:rPr>
            <w:rFonts w:cs="Times New Roman"/>
            <w:color w:val="000000" w:themeColor="text1"/>
          </w:rPr>
          <w:id w:val="12000001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Phi21 \l 1033  \m Bro21</w:instrText>
          </w:r>
          <w:r w:rsidRPr="00E4528F">
            <w:rPr>
              <w:rFonts w:cs="Times New Roman"/>
              <w:color w:val="000000" w:themeColor="text1"/>
            </w:rPr>
            <w:fldChar w:fldCharType="separate"/>
          </w:r>
          <w:r w:rsidRPr="00E4528F">
            <w:rPr>
              <w:rFonts w:cs="Times New Roman"/>
              <w:noProof/>
              <w:color w:val="000000" w:themeColor="text1"/>
            </w:rPr>
            <w:t>(Phillips et al., 2021; Broniatowski, 2021)</w:t>
          </w:r>
          <w:r w:rsidRPr="00E4528F">
            <w:rPr>
              <w:rFonts w:cs="Times New Roman"/>
              <w:color w:val="000000" w:themeColor="text1"/>
            </w:rPr>
            <w:fldChar w:fldCharType="end"/>
          </w:r>
        </w:sdtContent>
      </w:sdt>
      <w:r w:rsidRPr="00E4528F">
        <w:rPr>
          <w:rFonts w:cs="Times New Roman"/>
          <w:color w:val="000000" w:themeColor="text1"/>
        </w:rPr>
        <w:t xml:space="preserve">. For consequential decisions, an interpretable comparator and effective human review should remain serious governance controls rather than assuming that a post-hoc explanation cures opacity </w:t>
      </w:r>
      <w:sdt>
        <w:sdtPr>
          <w:rPr>
            <w:rFonts w:cs="Times New Roman"/>
            <w:color w:val="000000" w:themeColor="text1"/>
          </w:rPr>
          <w:id w:val="12000001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Tab23 \l 1033  \m Her22</w:instrText>
          </w:r>
          <w:r w:rsidRPr="00E4528F">
            <w:rPr>
              <w:rFonts w:cs="Times New Roman"/>
              <w:color w:val="000000" w:themeColor="text1"/>
            </w:rPr>
            <w:fldChar w:fldCharType="separate"/>
          </w:r>
          <w:r w:rsidRPr="00E4528F">
            <w:rPr>
              <w:rFonts w:cs="Times New Roman"/>
              <w:noProof/>
              <w:color w:val="000000" w:themeColor="text1"/>
            </w:rPr>
            <w:t>(Tabassi, 2023; Herm et al., 2022)</w:t>
          </w:r>
          <w:r w:rsidRPr="00E4528F">
            <w:rPr>
              <w:rFonts w:cs="Times New Roman"/>
              <w:color w:val="000000" w:themeColor="text1"/>
            </w:rPr>
            <w:fldChar w:fldCharType="end"/>
          </w:r>
        </w:sdtContent>
      </w:sdt>
      <w:r w:rsidRPr="00E4528F">
        <w:rPr>
          <w:rFonts w:cs="Times New Roman"/>
          <w:color w:val="000000" w:themeColor="text1"/>
        </w:rPr>
        <w:t>.</w:t>
      </w:r>
    </w:p>
    <w:p w14:paraId="73C31B18" w14:textId="77777777" w:rsidR="00FE2287" w:rsidRPr="00E4528F" w:rsidRDefault="00000000">
      <w:pPr>
        <w:pStyle w:val="Heading2"/>
        <w:rPr>
          <w:rFonts w:ascii="Times New Roman" w:hAnsi="Times New Roman" w:cs="Times New Roman"/>
          <w:color w:val="000000" w:themeColor="text1"/>
          <w:sz w:val="32"/>
          <w:szCs w:val="32"/>
        </w:rPr>
      </w:pPr>
      <w:bookmarkStart w:id="16" w:name="bm_s2_3"/>
      <w:r w:rsidRPr="00E4528F">
        <w:rPr>
          <w:rFonts w:ascii="Times New Roman" w:hAnsi="Times New Roman" w:cs="Times New Roman"/>
          <w:color w:val="000000" w:themeColor="text1"/>
          <w:sz w:val="32"/>
          <w:szCs w:val="32"/>
        </w:rPr>
        <w:t>2.3 Combining provenance and analytics</w:t>
      </w:r>
      <w:bookmarkEnd w:id="16"/>
    </w:p>
    <w:p w14:paraId="1EF36BD2" w14:textId="47553EEC" w:rsidR="00FE2287" w:rsidRPr="00E4528F" w:rsidRDefault="00000000">
      <w:pPr>
        <w:rPr>
          <w:rFonts w:cs="Times New Roman"/>
          <w:color w:val="000000" w:themeColor="text1"/>
        </w:rPr>
      </w:pPr>
      <w:r w:rsidRPr="00E4528F">
        <w:rPr>
          <w:rFonts w:cs="Times New Roman"/>
          <w:color w:val="000000" w:themeColor="text1"/>
        </w:rPr>
        <w:t xml:space="preserve">The principal integration opportunity is to use ledger events as provenance-bearing inputs to an analytical pipeline. In this artifact, provenance means retaining the attributable claim commitment and the processing history needed to reproduce the model input, not merely the record’s current value. A claim event can carry a stable identifier, authorised </w:t>
      </w:r>
      <w:r w:rsidRPr="00E4528F">
        <w:rPr>
          <w:rFonts w:cs="Times New Roman"/>
          <w:color w:val="000000" w:themeColor="text1"/>
        </w:rPr>
        <w:lastRenderedPageBreak/>
        <w:t>insurer address, content reference and lifecycle timestamp. The analytical layer can then retrieve a richer private record, verify its content identity and derive features. If a worker silently consumes a different object from the one committed to the registry, the blockchain adds ceremony rather than provenance.</w:t>
      </w:r>
    </w:p>
    <w:p w14:paraId="7B7C13C1" w14:textId="7DEA0327" w:rsidR="00FE2287" w:rsidRPr="00E4528F" w:rsidRDefault="00000000">
      <w:pPr>
        <w:rPr>
          <w:rFonts w:cs="Times New Roman"/>
          <w:color w:val="000000" w:themeColor="text1"/>
        </w:rPr>
      </w:pPr>
      <w:r w:rsidRPr="00E4528F">
        <w:rPr>
          <w:rFonts w:cs="Times New Roman"/>
          <w:color w:val="000000" w:themeColor="text1"/>
        </w:rPr>
        <w:t xml:space="preserve">Cross-insurer analysis creates an additional tension. Duplicate incidents are valuable fraud signals, yet sharing raw policy numbers, registration identifiers or personal descriptions would exceed what participants need. The prototype compares keyed representations of selected incident fields within the trusted service boundary. This reduces direct disclosure but remains </w:t>
      </w:r>
      <w:r w:rsidR="0040184E" w:rsidRPr="00E4528F">
        <w:rPr>
          <w:rFonts w:cs="Times New Roman"/>
          <w:color w:val="000000" w:themeColor="text1"/>
        </w:rPr>
        <w:t>pseudonymization</w:t>
      </w:r>
      <w:r w:rsidRPr="00E4528F">
        <w:rPr>
          <w:rFonts w:cs="Times New Roman"/>
          <w:color w:val="000000" w:themeColor="text1"/>
        </w:rPr>
        <w:t xml:space="preserve"> rather than </w:t>
      </w:r>
      <w:r w:rsidR="0040184E">
        <w:rPr>
          <w:rFonts w:cs="Times New Roman"/>
          <w:color w:val="000000" w:themeColor="text1"/>
        </w:rPr>
        <w:t>anonymization.</w:t>
      </w:r>
      <w:r w:rsidRPr="00E4528F">
        <w:rPr>
          <w:rFonts w:cs="Times New Roman"/>
          <w:color w:val="000000" w:themeColor="text1"/>
        </w:rPr>
        <w:t xml:space="preserve"> </w:t>
      </w:r>
      <w:r w:rsidR="0040184E">
        <w:rPr>
          <w:rFonts w:cs="Times New Roman"/>
          <w:color w:val="000000" w:themeColor="text1"/>
        </w:rPr>
        <w:t>E</w:t>
      </w:r>
      <w:r w:rsidRPr="00E4528F">
        <w:rPr>
          <w:rFonts w:cs="Times New Roman"/>
          <w:color w:val="000000" w:themeColor="text1"/>
        </w:rPr>
        <w:t xml:space="preserve">quality matching retains linkage and inference risks, while key secrecy, rotation, canonicalisation and re-identification risk still require governance </w:t>
      </w:r>
      <w:sdt>
        <w:sdtPr>
          <w:rPr>
            <w:rFonts w:cs="Times New Roman"/>
            <w:color w:val="000000" w:themeColor="text1"/>
          </w:rPr>
          <w:id w:val="12000001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20EC35B" w14:textId="280B74E7" w:rsidR="00FE2287" w:rsidRPr="00E4528F" w:rsidRDefault="00000000">
      <w:pPr>
        <w:rPr>
          <w:rFonts w:cs="Times New Roman"/>
          <w:color w:val="000000" w:themeColor="text1"/>
        </w:rPr>
      </w:pPr>
      <w:r w:rsidRPr="00E4528F">
        <w:rPr>
          <w:rFonts w:cs="Times New Roman"/>
          <w:color w:val="000000" w:themeColor="text1"/>
        </w:rPr>
        <w:t xml:space="preserve">Recent integrated systems increasingly combine smart contracts, decentralised storage and analytical services </w:t>
      </w:r>
      <w:sdt>
        <w:sdtPr>
          <w:rPr>
            <w:rFonts w:cs="Times New Roman"/>
            <w:color w:val="000000" w:themeColor="text1"/>
          </w:rPr>
          <w:id w:val="12000002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Jen24 \l 1033  \m EIO22</w:instrText>
          </w:r>
          <w:r w:rsidRPr="00E4528F">
            <w:rPr>
              <w:rFonts w:cs="Times New Roman"/>
              <w:color w:val="000000" w:themeColor="text1"/>
            </w:rPr>
            <w:fldChar w:fldCharType="separate"/>
          </w:r>
          <w:r w:rsidRPr="00E4528F">
            <w:rPr>
              <w:rFonts w:cs="Times New Roman"/>
              <w:noProof/>
              <w:color w:val="000000" w:themeColor="text1"/>
            </w:rPr>
            <w:t>(Jena et al., 2024; 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 Their architectural direction supports the hypothesis that provenance and prediction can coexist, but published evaluations frequently optimise one layer at a time. A ledger study may report gas or functional correctness without measuring model delivery</w:t>
      </w:r>
      <w:r w:rsidR="004F535C" w:rsidRPr="00E4528F">
        <w:rPr>
          <w:rFonts w:cs="Times New Roman"/>
          <w:color w:val="000000" w:themeColor="text1"/>
        </w:rPr>
        <w:t>,</w:t>
      </w:r>
      <w:r w:rsidRPr="00E4528F">
        <w:rPr>
          <w:rFonts w:cs="Times New Roman"/>
          <w:color w:val="000000" w:themeColor="text1"/>
        </w:rPr>
        <w:t xml:space="preserve"> an ML study may report accuracy without an auditable chain of custody</w:t>
      </w:r>
      <w:r w:rsidR="004F535C" w:rsidRPr="00E4528F">
        <w:rPr>
          <w:rFonts w:cs="Times New Roman"/>
          <w:color w:val="000000" w:themeColor="text1"/>
        </w:rPr>
        <w:t>,</w:t>
      </w:r>
      <w:r w:rsidRPr="00E4528F">
        <w:rPr>
          <w:rFonts w:cs="Times New Roman"/>
          <w:color w:val="000000" w:themeColor="text1"/>
        </w:rPr>
        <w:t xml:space="preserve"> an end-to-end proposal may not make replay behaviour explicit. The gap is therefore less about inventing another component than about making the contracts between components testable.</w:t>
      </w:r>
    </w:p>
    <w:p w14:paraId="6B6957A4" w14:textId="77777777" w:rsidR="00FE2287" w:rsidRPr="00E4528F" w:rsidRDefault="00000000">
      <w:pPr>
        <w:pStyle w:val="Heading2"/>
        <w:rPr>
          <w:rFonts w:ascii="Times New Roman" w:hAnsi="Times New Roman" w:cs="Times New Roman"/>
          <w:color w:val="000000" w:themeColor="text1"/>
          <w:sz w:val="32"/>
          <w:szCs w:val="32"/>
        </w:rPr>
      </w:pPr>
      <w:bookmarkStart w:id="17" w:name="bm_s2_4"/>
      <w:r w:rsidRPr="00E4528F">
        <w:rPr>
          <w:rFonts w:ascii="Times New Roman" w:hAnsi="Times New Roman" w:cs="Times New Roman"/>
          <w:color w:val="000000" w:themeColor="text1"/>
          <w:sz w:val="32"/>
          <w:szCs w:val="32"/>
        </w:rPr>
        <w:t>2.4 Event-driven processing and scalability</w:t>
      </w:r>
      <w:bookmarkEnd w:id="17"/>
    </w:p>
    <w:p w14:paraId="435429C3" w14:textId="77777777" w:rsidR="00FE2287" w:rsidRPr="00E4528F" w:rsidRDefault="00000000">
      <w:pPr>
        <w:rPr>
          <w:rFonts w:cs="Times New Roman"/>
          <w:color w:val="000000" w:themeColor="text1"/>
        </w:rPr>
      </w:pPr>
      <w:r w:rsidRPr="00E4528F">
        <w:rPr>
          <w:rFonts w:cs="Times New Roman"/>
          <w:color w:val="000000" w:themeColor="text1"/>
        </w:rPr>
        <w:t xml:space="preserve">An event-driven design separates claim registration from slower tasks such as retrieving content, building features and running the model. This can improve responsiveness and lets consumers scale separately. It also introduces message-delivery problems. Kafka research separates guarantees inside the stream platform from completeness across the whole application. For this reason, PostgreSQL, IPFS and blockchain side effects cannot be assumed to be covered automatically </w:t>
      </w:r>
      <w:sdt>
        <w:sdtPr>
          <w:rPr>
            <w:rFonts w:cs="Times New Roman"/>
            <w:color w:val="000000" w:themeColor="text1"/>
          </w:rPr>
          <w:id w:val="12000002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 xml:space="preserve">. A blockchain listener also needs a clear confirmation policy because inclusion and finality are different. Reliable </w:t>
      </w:r>
      <w:r w:rsidRPr="00E4528F">
        <w:rPr>
          <w:rFonts w:cs="Times New Roman"/>
          <w:color w:val="000000" w:themeColor="text1"/>
        </w:rPr>
        <w:lastRenderedPageBreak/>
        <w:t>processing requires idempotent consumers, durable checkpoints and stated finality assumptions.</w:t>
      </w:r>
    </w:p>
    <w:p w14:paraId="0ED2E8FF" w14:textId="77777777" w:rsidR="00FE2287" w:rsidRPr="00E4528F" w:rsidRDefault="00000000">
      <w:pPr>
        <w:rPr>
          <w:rFonts w:cs="Times New Roman"/>
          <w:color w:val="000000" w:themeColor="text1"/>
        </w:rPr>
      </w:pPr>
      <w:r w:rsidRPr="00E4528F">
        <w:rPr>
          <w:rFonts w:cs="Times New Roman"/>
          <w:color w:val="000000" w:themeColor="text1"/>
        </w:rPr>
        <w:t xml:space="preserve">The transactional outbox pattern addresses one common failure. Instead of writing application state and publishing a message as two unrelated operations, the service stores both the domain change and an outbox record in one database transaction. A separate publisher retries delivery. This avoids losing an event between a successful database commit and a failed broker call, at the cost of possible duplicate publication. Similar reasoning applies at the listener and worker boundaries, where deterministic identifiers and persisted results make ambiguous failures safer to repeat </w:t>
      </w:r>
      <w:sdt>
        <w:sdtPr>
          <w:rPr>
            <w:rFonts w:cs="Times New Roman"/>
            <w:color w:val="000000" w:themeColor="text1"/>
          </w:rPr>
          <w:id w:val="12000002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4C41393B" w14:textId="77777777" w:rsidR="00FE2287" w:rsidRPr="00E4528F" w:rsidRDefault="00000000">
      <w:pPr>
        <w:rPr>
          <w:rFonts w:cs="Times New Roman"/>
          <w:color w:val="000000" w:themeColor="text1"/>
        </w:rPr>
      </w:pPr>
      <w:r w:rsidRPr="00E4528F">
        <w:rPr>
          <w:rFonts w:cs="Times New Roman"/>
          <w:color w:val="000000" w:themeColor="text1"/>
        </w:rPr>
        <w:t xml:space="preserve">Scalability is multidimensional. Throughput, queue delay, inference time, storage growth, blockchain confirmation, RPC limits and gas cost can each become the bottleneck. A design may be horizontally scalable at the worker layer while remaining constrained by a single relayer key or database instance. The IEEE software-engineering body of knowledge treats performance testing as a defined engineering activity: claims should be based on a declared workload, controlled factors and repeatable measurements rather than inferred from an architecture diagram </w:t>
      </w:r>
      <w:sdt>
        <w:sdtPr>
          <w:rPr>
            <w:rFonts w:cs="Times New Roman"/>
            <w:color w:val="000000" w:themeColor="text1"/>
          </w:rPr>
          <w:id w:val="12000002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rsidRPr="00E4528F">
        <w:rPr>
          <w:rFonts w:cs="Times New Roman"/>
          <w:color w:val="000000" w:themeColor="text1"/>
        </w:rPr>
        <w:t>. This study documents scaling seams but does not claim benchmarked production capacity from a single-VM deployment.</w:t>
      </w:r>
    </w:p>
    <w:p w14:paraId="7D3D67EB" w14:textId="77777777" w:rsidR="00FE2287" w:rsidRPr="00E4528F" w:rsidRDefault="00000000">
      <w:pPr>
        <w:pStyle w:val="Heading2"/>
        <w:rPr>
          <w:rFonts w:ascii="Times New Roman" w:hAnsi="Times New Roman" w:cs="Times New Roman"/>
          <w:color w:val="000000" w:themeColor="text1"/>
          <w:sz w:val="32"/>
          <w:szCs w:val="32"/>
        </w:rPr>
      </w:pPr>
      <w:bookmarkStart w:id="18" w:name="bm_s2_5"/>
      <w:r w:rsidRPr="00E4528F">
        <w:rPr>
          <w:rFonts w:ascii="Times New Roman" w:hAnsi="Times New Roman" w:cs="Times New Roman"/>
          <w:color w:val="000000" w:themeColor="text1"/>
          <w:sz w:val="32"/>
          <w:szCs w:val="32"/>
        </w:rPr>
        <w:t>2.5 Privacy, explainability and governance</w:t>
      </w:r>
      <w:bookmarkEnd w:id="18"/>
    </w:p>
    <w:p w14:paraId="37C89A42" w14:textId="2B6FE0E1" w:rsidR="00FE2287" w:rsidRPr="00E4528F" w:rsidRDefault="00000000">
      <w:pPr>
        <w:rPr>
          <w:rFonts w:cs="Times New Roman"/>
          <w:color w:val="000000" w:themeColor="text1"/>
        </w:rPr>
      </w:pPr>
      <w:r w:rsidRPr="00E4528F">
        <w:rPr>
          <w:rFonts w:cs="Times New Roman"/>
          <w:color w:val="000000" w:themeColor="text1"/>
        </w:rPr>
        <w:t>A fraud system processes information that can affect access to money, speed of settlement and a customer’s reputation. Data protection, fairness and contestability are not peripheral requirements. Data minimisation asks whether each field is necessary for the stated purpose</w:t>
      </w:r>
      <w:r w:rsidR="004F535C" w:rsidRPr="00E4528F">
        <w:rPr>
          <w:rFonts w:cs="Times New Roman"/>
          <w:color w:val="000000" w:themeColor="text1"/>
        </w:rPr>
        <w:t>,</w:t>
      </w:r>
      <w:r w:rsidRPr="00E4528F">
        <w:rPr>
          <w:rFonts w:cs="Times New Roman"/>
          <w:color w:val="000000" w:themeColor="text1"/>
        </w:rPr>
        <w:t xml:space="preserve"> purpose limitation constrains reuse</w:t>
      </w:r>
      <w:r w:rsidR="004F535C" w:rsidRPr="00E4528F">
        <w:rPr>
          <w:rFonts w:cs="Times New Roman"/>
          <w:color w:val="000000" w:themeColor="text1"/>
        </w:rPr>
        <w:t>,</w:t>
      </w:r>
      <w:r w:rsidRPr="00E4528F">
        <w:rPr>
          <w:rFonts w:cs="Times New Roman"/>
          <w:color w:val="000000" w:themeColor="text1"/>
        </w:rPr>
        <w:t xml:space="preserve"> retention policy governs how long evidence and derived features remain available. Public replication and persistence complicate rectification and erasure, so final European guidance emphasises necessity, protection by design, controller-role analysis and data-protection impact assessment before high-risk blockchain processing </w:t>
      </w:r>
      <w:sdt>
        <w:sdtPr>
          <w:rPr>
            <w:rFonts w:cs="Times New Roman"/>
            <w:color w:val="000000" w:themeColor="text1"/>
          </w:rPr>
          <w:id w:val="12000002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25D2A16E" w14:textId="390E6C97" w:rsidR="00FE2287" w:rsidRPr="00E4528F" w:rsidRDefault="00000000">
      <w:pPr>
        <w:rPr>
          <w:rFonts w:cs="Times New Roman"/>
          <w:color w:val="000000" w:themeColor="text1"/>
        </w:rPr>
      </w:pPr>
      <w:r w:rsidRPr="00E4528F">
        <w:rPr>
          <w:rFonts w:cs="Times New Roman"/>
          <w:color w:val="000000" w:themeColor="text1"/>
        </w:rPr>
        <w:t xml:space="preserve">Governance also determines who may exercise contract roles, approve model versions, rotate keys and respond to an incident. Role-based access control in code is only the technical expression of those decisions. Mature Ethereum security specifications treat </w:t>
      </w:r>
      <w:r w:rsidRPr="00E4528F">
        <w:rPr>
          <w:rFonts w:cs="Times New Roman"/>
          <w:color w:val="000000" w:themeColor="text1"/>
        </w:rPr>
        <w:lastRenderedPageBreak/>
        <w:t xml:space="preserve">privileged access and operational controls as part of the assurance boundary while the NIST AI Risk Management Framework treats governance as a cross-cutting lifecycle function rather than a deployment checklist </w:t>
      </w:r>
      <w:sdt>
        <w:sdtPr>
          <w:rPr>
            <w:rFonts w:cs="Times New Roman"/>
            <w:color w:val="000000" w:themeColor="text1"/>
          </w:rPr>
          <w:id w:val="12000002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Tab23</w:instrText>
          </w:r>
          <w:r w:rsidRPr="00E4528F">
            <w:rPr>
              <w:rFonts w:cs="Times New Roman"/>
              <w:color w:val="000000" w:themeColor="text1"/>
            </w:rPr>
            <w:fldChar w:fldCharType="separate"/>
          </w:r>
          <w:r w:rsidRPr="00E4528F">
            <w:rPr>
              <w:rFonts w:cs="Times New Roman"/>
              <w:noProof/>
              <w:color w:val="000000" w:themeColor="text1"/>
            </w:rPr>
            <w:t>(Enterprise Ethereum Alliance, 2025; Tabassi, 2023)</w:t>
          </w:r>
          <w:r w:rsidRPr="00E4528F">
            <w:rPr>
              <w:rFonts w:cs="Times New Roman"/>
              <w:color w:val="000000" w:themeColor="text1"/>
            </w:rPr>
            <w:fldChar w:fldCharType="end"/>
          </w:r>
        </w:sdtContent>
      </w:sdt>
      <w:r w:rsidRPr="00E4528F">
        <w:rPr>
          <w:rFonts w:cs="Times New Roman"/>
          <w:color w:val="000000" w:themeColor="text1"/>
        </w:rPr>
        <w:t>. The same applies to model governance: an assessor needs the model identifier, threshold, feature definitions, training-data lineage and a route to record disagreement.</w:t>
      </w:r>
    </w:p>
    <w:p w14:paraId="1C87CF6E" w14:textId="69B2F41B" w:rsidR="00FE2287" w:rsidRPr="00E4528F" w:rsidRDefault="00000000">
      <w:pPr>
        <w:rPr>
          <w:rFonts w:cs="Times New Roman"/>
          <w:color w:val="000000" w:themeColor="text1"/>
        </w:rPr>
      </w:pPr>
      <w:r w:rsidRPr="00E4528F">
        <w:rPr>
          <w:rFonts w:cs="Times New Roman"/>
          <w:color w:val="000000" w:themeColor="text1"/>
        </w:rPr>
        <w:t xml:space="preserve">Human oversight should be consequential rather than ceremonial. If every high score is automatically treated as fraud, an explanation panel does not create meaningful review. Current AI risk guidance requires governance, monitoring and clearly allocated responsibility across the lifecycle, while NIST distinguishes an explanation being produced from it being meaningful to its recipient </w:t>
      </w:r>
      <w:sdt>
        <w:sdtPr>
          <w:rPr>
            <w:rFonts w:cs="Times New Roman"/>
            <w:color w:val="000000" w:themeColor="text1"/>
          </w:rPr>
          <w:id w:val="12000002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Tab23 \l 1033  \m Phi21</w:instrText>
          </w:r>
          <w:r w:rsidRPr="00E4528F">
            <w:rPr>
              <w:rFonts w:cs="Times New Roman"/>
              <w:color w:val="000000" w:themeColor="text1"/>
            </w:rPr>
            <w:fldChar w:fldCharType="separate"/>
          </w:r>
          <w:r w:rsidRPr="00E4528F">
            <w:rPr>
              <w:rFonts w:cs="Times New Roman"/>
              <w:noProof/>
              <w:color w:val="000000" w:themeColor="text1"/>
            </w:rPr>
            <w:t>(Tabassi, 2023; Phillips et al., 2021)</w:t>
          </w:r>
          <w:r w:rsidRPr="00E4528F">
            <w:rPr>
              <w:rFonts w:cs="Times New Roman"/>
              <w:color w:val="000000" w:themeColor="text1"/>
            </w:rPr>
            <w:fldChar w:fldCharType="end"/>
          </w:r>
        </w:sdtContent>
      </w:sdt>
      <w:r w:rsidRPr="00E4528F">
        <w:rPr>
          <w:rFonts w:cs="Times New Roman"/>
          <w:color w:val="000000" w:themeColor="text1"/>
        </w:rPr>
        <w:t>. In the implemented workflow, the score, duplicate evidence, provenance and explanation support triage while authority and responsibility remain with a reviewer. This supports investigation without converting a model output into an autonomous accusation.</w:t>
      </w:r>
    </w:p>
    <w:p w14:paraId="212D79F7" w14:textId="244F3D43" w:rsidR="00FE2287" w:rsidRPr="00E4528F" w:rsidRDefault="00000000">
      <w:pPr>
        <w:rPr>
          <w:rFonts w:cs="Times New Roman"/>
          <w:color w:val="000000" w:themeColor="text1"/>
        </w:rPr>
      </w:pPr>
      <w:r w:rsidRPr="00E4528F">
        <w:rPr>
          <w:rFonts w:cs="Times New Roman"/>
          <w:color w:val="000000" w:themeColor="text1"/>
        </w:rPr>
        <w:t xml:space="preserve">The legal position must be described carefully. The Data (Use and Access) Act 2025 replaced the former UK GDPR Article 22 framework with Articles 22A-22D. It defines a solely automated decision as one made without meaningful human involvement and keeps safeguards for significant decisions </w:t>
      </w:r>
      <w:sdt>
        <w:sdtPr>
          <w:rPr>
            <w:rFonts w:cs="Times New Roman"/>
            <w:color w:val="000000" w:themeColor="text1"/>
          </w:rPr>
          <w:id w:val="12000002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w:instrText>
          </w:r>
          <w:r w:rsidRPr="00E4528F">
            <w:rPr>
              <w:rFonts w:cs="Times New Roman"/>
              <w:color w:val="000000" w:themeColor="text1"/>
            </w:rPr>
            <w:fldChar w:fldCharType="separate"/>
          </w:r>
          <w:r w:rsidRPr="00E4528F">
            <w:rPr>
              <w:rFonts w:cs="Times New Roman"/>
              <w:noProof/>
              <w:color w:val="000000" w:themeColor="text1"/>
            </w:rPr>
            <w:t>(Data (Use and Access) Act 2025, s.80)</w:t>
          </w:r>
          <w:r w:rsidRPr="00E4528F">
            <w:rPr>
              <w:rFonts w:cs="Times New Roman"/>
              <w:color w:val="000000" w:themeColor="text1"/>
            </w:rPr>
            <w:fldChar w:fldCharType="end"/>
          </w:r>
        </w:sdtContent>
      </w:sdt>
      <w:r w:rsidRPr="00E4528F">
        <w:rPr>
          <w:rFonts w:cs="Times New Roman"/>
          <w:color w:val="000000" w:themeColor="text1"/>
        </w:rPr>
        <w:t xml:space="preserve">. The ICO summary lists rights to information, representation, human intervention and contest </w:t>
      </w:r>
      <w:sdt>
        <w:sdtPr>
          <w:rPr>
            <w:rFonts w:cs="Times New Roman"/>
            <w:color w:val="000000" w:themeColor="text1"/>
          </w:rPr>
          <w:id w:val="12000002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ICO25 \l 1033 </w:instrText>
          </w:r>
          <w:r w:rsidRPr="00E4528F">
            <w:rPr>
              <w:rFonts w:cs="Times New Roman"/>
              <w:color w:val="000000" w:themeColor="text1"/>
            </w:rPr>
            <w:fldChar w:fldCharType="separate"/>
          </w:r>
          <w:r w:rsidRPr="00E4528F">
            <w:rPr>
              <w:rFonts w:cs="Times New Roman"/>
              <w:noProof/>
              <w:color w:val="000000" w:themeColor="text1"/>
            </w:rPr>
            <w:t>(Information Commissioner’s Office, 2025)</w:t>
          </w:r>
          <w:r w:rsidRPr="00E4528F">
            <w:rPr>
              <w:rFonts w:cs="Times New Roman"/>
              <w:color w:val="000000" w:themeColor="text1"/>
            </w:rPr>
            <w:fldChar w:fldCharType="end"/>
          </w:r>
        </w:sdtContent>
      </w:sdt>
      <w:r w:rsidRPr="00E4528F">
        <w:rPr>
          <w:rFonts w:cs="Times New Roman"/>
          <w:color w:val="000000" w:themeColor="text1"/>
        </w:rPr>
        <w:t>. The prototype does not automatically reject, delay or label a claim as fraud. A real insurer would still need a lawful basis, transparency, a DPIA</w:t>
      </w:r>
      <w:r w:rsidR="00FD5AFE">
        <w:rPr>
          <w:rFonts w:cs="Times New Roman"/>
          <w:color w:val="000000" w:themeColor="text1"/>
        </w:rPr>
        <w:t xml:space="preserve"> (Data Protection Impact Assessment)</w:t>
      </w:r>
      <w:r w:rsidRPr="00E4528F">
        <w:rPr>
          <w:rFonts w:cs="Times New Roman"/>
          <w:color w:val="000000" w:themeColor="text1"/>
        </w:rPr>
        <w:t xml:space="preserve"> where required, a competent reviewer and an effective challenge process.</w:t>
      </w:r>
    </w:p>
    <w:p w14:paraId="68ACCBC0" w14:textId="7ED0D760" w:rsidR="00FE2287" w:rsidRPr="00E4528F" w:rsidRDefault="00000000">
      <w:pPr>
        <w:rPr>
          <w:rFonts w:cs="Times New Roman"/>
          <w:color w:val="000000" w:themeColor="text1"/>
        </w:rPr>
      </w:pPr>
      <w:r w:rsidRPr="00E4528F">
        <w:rPr>
          <w:rFonts w:cs="Times New Roman"/>
          <w:color w:val="000000" w:themeColor="text1"/>
        </w:rPr>
        <w:t>The EU AI Act provides a useful additional boundary rather than a simple label. Its recitals distinguish AI used for legally provided financial-fraud detection from the listed high-risk use of AI for life and health insurance risk assessment and pricing</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lassification depends on intended purpose. However, its lifecycle risk management, logging and effective human-oversight requirements provide relevant design benchmarks for consequential insurance systems </w:t>
      </w:r>
      <w:sdt>
        <w:sdtPr>
          <w:rPr>
            <w:rFonts w:cs="Times New Roman"/>
            <w:color w:val="000000" w:themeColor="text1"/>
          </w:rPr>
          <w:id w:val="12000002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EU24 \l 1033 </w:instrText>
          </w:r>
          <w:r w:rsidRPr="00E4528F">
            <w:rPr>
              <w:rFonts w:cs="Times New Roman"/>
              <w:color w:val="000000" w:themeColor="text1"/>
            </w:rPr>
            <w:fldChar w:fldCharType="separate"/>
          </w:r>
          <w:r w:rsidRPr="00E4528F">
            <w:rPr>
              <w:rFonts w:cs="Times New Roman"/>
              <w:noProof/>
              <w:color w:val="000000" w:themeColor="text1"/>
            </w:rPr>
            <w:t>(European Parliament and Council, 2024)</w:t>
          </w:r>
          <w:r w:rsidRPr="00E4528F">
            <w:rPr>
              <w:rFonts w:cs="Times New Roman"/>
              <w:color w:val="000000" w:themeColor="text1"/>
            </w:rPr>
            <w:fldChar w:fldCharType="end"/>
          </w:r>
        </w:sdtContent>
      </w:sdt>
      <w:r w:rsidRPr="00E4528F">
        <w:rPr>
          <w:rFonts w:cs="Times New Roman"/>
          <w:color w:val="000000" w:themeColor="text1"/>
        </w:rPr>
        <w:t>. This study uses those principles as governance guidance and does not claim a formal conformity assessment.</w:t>
      </w:r>
    </w:p>
    <w:p w14:paraId="4811687B" w14:textId="77777777" w:rsidR="00FE2287" w:rsidRPr="00E4528F" w:rsidRDefault="00000000">
      <w:pPr>
        <w:pStyle w:val="Heading2"/>
        <w:rPr>
          <w:rFonts w:ascii="Times New Roman" w:hAnsi="Times New Roman" w:cs="Times New Roman"/>
          <w:color w:val="000000" w:themeColor="text1"/>
          <w:sz w:val="32"/>
          <w:szCs w:val="32"/>
        </w:rPr>
      </w:pPr>
      <w:bookmarkStart w:id="19" w:name="bm_s2_6"/>
      <w:r w:rsidRPr="00E4528F">
        <w:rPr>
          <w:rFonts w:ascii="Times New Roman" w:hAnsi="Times New Roman" w:cs="Times New Roman"/>
          <w:color w:val="000000" w:themeColor="text1"/>
          <w:sz w:val="32"/>
          <w:szCs w:val="32"/>
        </w:rPr>
        <w:lastRenderedPageBreak/>
        <w:t>2.6 Critical synthesis and research gap</w:t>
      </w:r>
      <w:bookmarkEnd w:id="19"/>
    </w:p>
    <w:p w14:paraId="5EE20774" w14:textId="60EDD0CA" w:rsidR="00FE2287" w:rsidRPr="00E4528F" w:rsidRDefault="00000000">
      <w:pPr>
        <w:rPr>
          <w:rFonts w:cs="Times New Roman"/>
          <w:color w:val="000000" w:themeColor="text1"/>
        </w:rPr>
      </w:pPr>
      <w:r w:rsidRPr="00E4528F">
        <w:rPr>
          <w:rFonts w:cs="Times New Roman"/>
          <w:color w:val="000000" w:themeColor="text1"/>
        </w:rPr>
        <w:t>Table 2.1 compares representative work against the needs of this research. The comparison shows strong evidence for individual mechanisms</w:t>
      </w:r>
      <w:r w:rsidR="00FD5AFE">
        <w:rPr>
          <w:rFonts w:cs="Times New Roman"/>
          <w:color w:val="000000" w:themeColor="text1"/>
        </w:rPr>
        <w:t xml:space="preserve">: </w:t>
      </w:r>
      <w:r w:rsidRPr="00E4528F">
        <w:rPr>
          <w:rFonts w:cs="Times New Roman"/>
          <w:color w:val="000000" w:themeColor="text1"/>
        </w:rPr>
        <w:t>smart-contract traceability, content addressing, tabular classifiers and feature explanation</w:t>
      </w:r>
      <w:r w:rsidR="00FD5AFE">
        <w:rPr>
          <w:rFonts w:cs="Times New Roman"/>
          <w:color w:val="000000" w:themeColor="text1"/>
        </w:rPr>
        <w:t xml:space="preserve"> </w:t>
      </w:r>
      <w:r w:rsidRPr="00E4528F">
        <w:rPr>
          <w:rFonts w:cs="Times New Roman"/>
          <w:color w:val="000000" w:themeColor="text1"/>
        </w:rPr>
        <w:t>but weaker evidence for their end-to-end composition under realistic failure semantics. Performance figures are intentionally not normalised across studies because datasets and evaluation protocols differ. The transferable question is whether each study makes provenance, privacy, delivery and operational decision costs visible.</w:t>
      </w:r>
    </w:p>
    <w:p w14:paraId="2044E601" w14:textId="2B90E948" w:rsidR="00FE2287" w:rsidRPr="00E4528F" w:rsidRDefault="00000000">
      <w:pPr>
        <w:rPr>
          <w:rFonts w:cs="Times New Roman"/>
          <w:color w:val="000000" w:themeColor="text1"/>
        </w:rPr>
      </w:pPr>
      <w:r w:rsidRPr="00E4528F">
        <w:rPr>
          <w:rFonts w:cs="Times New Roman"/>
          <w:color w:val="000000" w:themeColor="text1"/>
        </w:rPr>
        <w:t>The research gap is clear. There is a need for an implemented and critically evaluated pattern that keeps the public claim lifecycle small and authorised, links it to off-chain content, delivers events safely to the feature pipeline and reports model and system results honestly. That combination matters because assurance can fail at the seams: a valid transaction may still point to mishandled content, and a sound model may still be fed or acted on incorrectly. It must do this without exaggerating privacy or scalability. Chapter 3 turns this gap into testable requirements and a system design.</w:t>
      </w:r>
    </w:p>
    <w:p w14:paraId="0E386751" w14:textId="77777777" w:rsidR="00FE2287" w:rsidRPr="00E4528F" w:rsidRDefault="00000000" w:rsidP="00C76C0C">
      <w:pPr>
        <w:pStyle w:val="Caption"/>
        <w:rPr>
          <w:rFonts w:cs="Times New Roman"/>
          <w:color w:val="000000" w:themeColor="text1"/>
        </w:rPr>
      </w:pPr>
      <w:bookmarkStart w:id="20" w:name="bm_tab_lit"/>
      <w:r w:rsidRPr="00E4528F">
        <w:rPr>
          <w:rFonts w:cs="Times New Roman"/>
          <w:color w:val="000000" w:themeColor="text1"/>
        </w:rPr>
        <w:t>Table 2.1. Critical comparison of representative literature</w:t>
      </w:r>
      <w:bookmarkEnd w:id="2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656"/>
        <w:gridCol w:w="2376"/>
        <w:gridCol w:w="1944"/>
        <w:gridCol w:w="2664"/>
      </w:tblGrid>
      <w:tr w:rsidR="00FE2287" w:rsidRPr="00E4528F" w14:paraId="242C26B4" w14:textId="77777777">
        <w:trPr>
          <w:cantSplit/>
          <w:tblHeader/>
          <w:jc w:val="center"/>
        </w:trPr>
        <w:tc>
          <w:tcPr>
            <w:tcW w:w="1656" w:type="dxa"/>
            <w:shd w:val="clear" w:color="auto" w:fill="17365D"/>
            <w:tcMar>
              <w:top w:w="80" w:type="dxa"/>
              <w:left w:w="90" w:type="dxa"/>
              <w:bottom w:w="80" w:type="dxa"/>
              <w:right w:w="90" w:type="dxa"/>
            </w:tcMar>
            <w:vAlign w:val="center"/>
          </w:tcPr>
          <w:p w14:paraId="24E055AF"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Study</w:t>
            </w:r>
          </w:p>
        </w:tc>
        <w:tc>
          <w:tcPr>
            <w:tcW w:w="2376" w:type="dxa"/>
            <w:shd w:val="clear" w:color="auto" w:fill="17365D"/>
            <w:tcMar>
              <w:top w:w="80" w:type="dxa"/>
              <w:left w:w="90" w:type="dxa"/>
              <w:bottom w:w="80" w:type="dxa"/>
              <w:right w:w="90" w:type="dxa"/>
            </w:tcMar>
            <w:vAlign w:val="center"/>
          </w:tcPr>
          <w:p w14:paraId="4D43EA73"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Primary contribution</w:t>
            </w:r>
          </w:p>
        </w:tc>
        <w:tc>
          <w:tcPr>
            <w:tcW w:w="1944" w:type="dxa"/>
            <w:shd w:val="clear" w:color="auto" w:fill="17365D"/>
            <w:tcMar>
              <w:top w:w="80" w:type="dxa"/>
              <w:left w:w="90" w:type="dxa"/>
              <w:bottom w:w="80" w:type="dxa"/>
              <w:right w:w="90" w:type="dxa"/>
            </w:tcMar>
            <w:vAlign w:val="center"/>
          </w:tcPr>
          <w:p w14:paraId="41860961"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Evaluation emphasis</w:t>
            </w:r>
          </w:p>
        </w:tc>
        <w:tc>
          <w:tcPr>
            <w:tcW w:w="2664" w:type="dxa"/>
            <w:shd w:val="clear" w:color="auto" w:fill="17365D"/>
            <w:tcMar>
              <w:top w:w="80" w:type="dxa"/>
              <w:left w:w="90" w:type="dxa"/>
              <w:bottom w:w="80" w:type="dxa"/>
              <w:right w:w="90" w:type="dxa"/>
            </w:tcMar>
            <w:vAlign w:val="center"/>
          </w:tcPr>
          <w:p w14:paraId="4E22B2A4"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Gap relevant to this project</w:t>
            </w:r>
          </w:p>
        </w:tc>
      </w:tr>
      <w:tr w:rsidR="00FE2287" w:rsidRPr="00E4528F" w14:paraId="0297880E" w14:textId="77777777">
        <w:trPr>
          <w:cantSplit/>
          <w:jc w:val="center"/>
        </w:trPr>
        <w:tc>
          <w:tcPr>
            <w:tcW w:w="1656" w:type="dxa"/>
            <w:tcMar>
              <w:top w:w="80" w:type="dxa"/>
              <w:left w:w="90" w:type="dxa"/>
              <w:bottom w:w="80" w:type="dxa"/>
              <w:right w:w="90" w:type="dxa"/>
            </w:tcMar>
            <w:vAlign w:val="center"/>
          </w:tcPr>
          <w:p w14:paraId="4CD59B2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Chen et al. (2021)</w:t>
            </w:r>
          </w:p>
        </w:tc>
        <w:tc>
          <w:tcPr>
            <w:tcW w:w="2376" w:type="dxa"/>
            <w:tcMar>
              <w:top w:w="80" w:type="dxa"/>
              <w:left w:w="90" w:type="dxa"/>
              <w:bottom w:w="80" w:type="dxa"/>
              <w:right w:w="90" w:type="dxa"/>
            </w:tcMar>
            <w:vAlign w:val="center"/>
          </w:tcPr>
          <w:p w14:paraId="39AE50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Traceable online claim workflow using blockchain and smart contracts.</w:t>
            </w:r>
          </w:p>
        </w:tc>
        <w:tc>
          <w:tcPr>
            <w:tcW w:w="1944" w:type="dxa"/>
            <w:tcMar>
              <w:top w:w="80" w:type="dxa"/>
              <w:left w:w="90" w:type="dxa"/>
              <w:bottom w:w="80" w:type="dxa"/>
              <w:right w:w="90" w:type="dxa"/>
            </w:tcMar>
            <w:vAlign w:val="center"/>
          </w:tcPr>
          <w:p w14:paraId="6F5632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Protocol and workflow demonstration.</w:t>
            </w:r>
          </w:p>
        </w:tc>
        <w:tc>
          <w:tcPr>
            <w:tcW w:w="2664" w:type="dxa"/>
            <w:tcMar>
              <w:top w:w="80" w:type="dxa"/>
              <w:left w:w="90" w:type="dxa"/>
              <w:bottom w:w="80" w:type="dxa"/>
              <w:right w:w="90" w:type="dxa"/>
            </w:tcMar>
            <w:vAlign w:val="center"/>
          </w:tcPr>
          <w:p w14:paraId="58CB19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Limited connection to downstream model evidence and replay-aware analytics.</w:t>
            </w:r>
          </w:p>
        </w:tc>
      </w:tr>
      <w:tr w:rsidR="00FE2287" w:rsidRPr="00E4528F" w14:paraId="2774D617" w14:textId="77777777">
        <w:trPr>
          <w:cantSplit/>
          <w:jc w:val="center"/>
        </w:trPr>
        <w:tc>
          <w:tcPr>
            <w:tcW w:w="1656" w:type="dxa"/>
            <w:shd w:val="clear" w:color="auto" w:fill="F3F6F9"/>
            <w:tcMar>
              <w:top w:w="80" w:type="dxa"/>
              <w:left w:w="90" w:type="dxa"/>
              <w:bottom w:w="80" w:type="dxa"/>
              <w:right w:w="90" w:type="dxa"/>
            </w:tcMar>
            <w:vAlign w:val="center"/>
          </w:tcPr>
          <w:p w14:paraId="0A4B41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Jena et al. (2024)</w:t>
            </w:r>
          </w:p>
        </w:tc>
        <w:tc>
          <w:tcPr>
            <w:tcW w:w="2376" w:type="dxa"/>
            <w:shd w:val="clear" w:color="auto" w:fill="F3F6F9"/>
            <w:tcMar>
              <w:top w:w="80" w:type="dxa"/>
              <w:left w:w="90" w:type="dxa"/>
              <w:bottom w:w="80" w:type="dxa"/>
              <w:right w:w="90" w:type="dxa"/>
            </w:tcMar>
            <w:vAlign w:val="center"/>
          </w:tcPr>
          <w:p w14:paraId="040C54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Blockchain-based tracing of fraudulent insurance claims.</w:t>
            </w:r>
          </w:p>
        </w:tc>
        <w:tc>
          <w:tcPr>
            <w:tcW w:w="1944" w:type="dxa"/>
            <w:shd w:val="clear" w:color="auto" w:fill="F3F6F9"/>
            <w:tcMar>
              <w:top w:w="80" w:type="dxa"/>
              <w:left w:w="90" w:type="dxa"/>
              <w:bottom w:w="80" w:type="dxa"/>
              <w:right w:w="90" w:type="dxa"/>
            </w:tcMar>
            <w:vAlign w:val="center"/>
          </w:tcPr>
          <w:p w14:paraId="680E4C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Open healthcare-claim prototype study.</w:t>
            </w:r>
          </w:p>
        </w:tc>
        <w:tc>
          <w:tcPr>
            <w:tcW w:w="2664" w:type="dxa"/>
            <w:shd w:val="clear" w:color="auto" w:fill="F3F6F9"/>
            <w:tcMar>
              <w:top w:w="80" w:type="dxa"/>
              <w:left w:w="90" w:type="dxa"/>
              <w:bottom w:w="80" w:type="dxa"/>
              <w:right w:w="90" w:type="dxa"/>
            </w:tcMar>
            <w:vAlign w:val="center"/>
          </w:tcPr>
          <w:p w14:paraId="07A0309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Domain differs and field-level benefit is not established.</w:t>
            </w:r>
          </w:p>
        </w:tc>
      </w:tr>
      <w:tr w:rsidR="00FE2287" w:rsidRPr="00E4528F" w14:paraId="32161486" w14:textId="77777777">
        <w:trPr>
          <w:cantSplit/>
          <w:jc w:val="center"/>
        </w:trPr>
        <w:tc>
          <w:tcPr>
            <w:tcW w:w="1656" w:type="dxa"/>
            <w:tcMar>
              <w:top w:w="80" w:type="dxa"/>
              <w:left w:w="90" w:type="dxa"/>
              <w:bottom w:w="80" w:type="dxa"/>
              <w:right w:w="90" w:type="dxa"/>
            </w:tcMar>
            <w:vAlign w:val="center"/>
          </w:tcPr>
          <w:p w14:paraId="484603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EIOPA (2022)</w:t>
            </w:r>
          </w:p>
        </w:tc>
        <w:tc>
          <w:tcPr>
            <w:tcW w:w="2376" w:type="dxa"/>
            <w:tcMar>
              <w:top w:w="80" w:type="dxa"/>
              <w:left w:w="90" w:type="dxa"/>
              <w:bottom w:w="80" w:type="dxa"/>
              <w:right w:w="90" w:type="dxa"/>
            </w:tcMar>
            <w:vAlign w:val="center"/>
          </w:tcPr>
          <w:p w14:paraId="41107C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Regulatory review of blockchain and smart contracts in insurance.</w:t>
            </w:r>
          </w:p>
        </w:tc>
        <w:tc>
          <w:tcPr>
            <w:tcW w:w="1944" w:type="dxa"/>
            <w:tcMar>
              <w:top w:w="80" w:type="dxa"/>
              <w:left w:w="90" w:type="dxa"/>
              <w:bottom w:w="80" w:type="dxa"/>
              <w:right w:w="90" w:type="dxa"/>
            </w:tcMar>
            <w:vAlign w:val="center"/>
          </w:tcPr>
          <w:p w14:paraId="308CB9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Benefits, barriers and industry feedback.</w:t>
            </w:r>
          </w:p>
        </w:tc>
        <w:tc>
          <w:tcPr>
            <w:tcW w:w="2664" w:type="dxa"/>
            <w:tcMar>
              <w:top w:w="80" w:type="dxa"/>
              <w:left w:w="90" w:type="dxa"/>
              <w:bottom w:w="80" w:type="dxa"/>
              <w:right w:w="90" w:type="dxa"/>
            </w:tcMar>
            <w:vAlign w:val="center"/>
          </w:tcPr>
          <w:p w14:paraId="21AE2D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Similar benefits may sometimes be achieved without blockchain.</w:t>
            </w:r>
          </w:p>
        </w:tc>
      </w:tr>
      <w:tr w:rsidR="00FE2287" w:rsidRPr="00E4528F" w14:paraId="01E5E729" w14:textId="77777777">
        <w:trPr>
          <w:cantSplit/>
          <w:jc w:val="center"/>
        </w:trPr>
        <w:tc>
          <w:tcPr>
            <w:tcW w:w="1656" w:type="dxa"/>
            <w:shd w:val="clear" w:color="auto" w:fill="F3F6F9"/>
            <w:tcMar>
              <w:top w:w="80" w:type="dxa"/>
              <w:left w:w="90" w:type="dxa"/>
              <w:bottom w:w="80" w:type="dxa"/>
              <w:right w:w="90" w:type="dxa"/>
            </w:tcMar>
            <w:vAlign w:val="center"/>
          </w:tcPr>
          <w:p w14:paraId="141E29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Carracedo et al. (2026)</w:t>
            </w:r>
          </w:p>
        </w:tc>
        <w:tc>
          <w:tcPr>
            <w:tcW w:w="2376" w:type="dxa"/>
            <w:shd w:val="clear" w:color="auto" w:fill="F3F6F9"/>
            <w:tcMar>
              <w:top w:w="80" w:type="dxa"/>
              <w:left w:w="90" w:type="dxa"/>
              <w:bottom w:w="80" w:type="dxa"/>
              <w:right w:w="90" w:type="dxa"/>
            </w:tcMar>
            <w:vAlign w:val="center"/>
          </w:tcPr>
          <w:p w14:paraId="641D9A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Imbalance-aware insurance-fraud modelling.</w:t>
            </w:r>
          </w:p>
        </w:tc>
        <w:tc>
          <w:tcPr>
            <w:tcW w:w="1944" w:type="dxa"/>
            <w:shd w:val="clear" w:color="auto" w:fill="F3F6F9"/>
            <w:tcMar>
              <w:top w:w="80" w:type="dxa"/>
              <w:left w:w="90" w:type="dxa"/>
              <w:bottom w:w="80" w:type="dxa"/>
              <w:right w:w="90" w:type="dxa"/>
            </w:tcMar>
            <w:vAlign w:val="center"/>
          </w:tcPr>
          <w:p w14:paraId="5EAFB3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Real insurer data and threshold-sensitive comparison.</w:t>
            </w:r>
          </w:p>
        </w:tc>
        <w:tc>
          <w:tcPr>
            <w:tcW w:w="2664" w:type="dxa"/>
            <w:shd w:val="clear" w:color="auto" w:fill="F3F6F9"/>
            <w:tcMar>
              <w:top w:w="80" w:type="dxa"/>
              <w:left w:w="90" w:type="dxa"/>
              <w:bottom w:w="80" w:type="dxa"/>
              <w:right w:w="90" w:type="dxa"/>
            </w:tcMar>
            <w:vAlign w:val="center"/>
          </w:tcPr>
          <w:p w14:paraId="1597F6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Proprietary setting limits independent transferability.</w:t>
            </w:r>
          </w:p>
        </w:tc>
      </w:tr>
      <w:tr w:rsidR="00FE2287" w:rsidRPr="00E4528F" w14:paraId="692AB2BB" w14:textId="77777777">
        <w:trPr>
          <w:cantSplit/>
          <w:jc w:val="center"/>
        </w:trPr>
        <w:tc>
          <w:tcPr>
            <w:tcW w:w="1656" w:type="dxa"/>
            <w:tcMar>
              <w:top w:w="80" w:type="dxa"/>
              <w:left w:w="90" w:type="dxa"/>
              <w:bottom w:w="80" w:type="dxa"/>
              <w:right w:w="90" w:type="dxa"/>
            </w:tcMar>
            <w:vAlign w:val="center"/>
          </w:tcPr>
          <w:p w14:paraId="6BE1BA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Debener et al. (2023)</w:t>
            </w:r>
          </w:p>
        </w:tc>
        <w:tc>
          <w:tcPr>
            <w:tcW w:w="2376" w:type="dxa"/>
            <w:tcMar>
              <w:top w:w="80" w:type="dxa"/>
              <w:left w:w="90" w:type="dxa"/>
              <w:bottom w:w="80" w:type="dxa"/>
              <w:right w:w="90" w:type="dxa"/>
            </w:tcMar>
            <w:vAlign w:val="center"/>
          </w:tcPr>
          <w:p w14:paraId="4DC933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Supervised and unsupervised insurer-fraud signals.</w:t>
            </w:r>
          </w:p>
        </w:tc>
        <w:tc>
          <w:tcPr>
            <w:tcW w:w="1944" w:type="dxa"/>
            <w:tcMar>
              <w:top w:w="80" w:type="dxa"/>
              <w:left w:w="90" w:type="dxa"/>
              <w:bottom w:w="80" w:type="dxa"/>
              <w:right w:w="90" w:type="dxa"/>
            </w:tcMar>
            <w:vAlign w:val="center"/>
          </w:tcPr>
          <w:p w14:paraId="3ADA04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Proprietary data with practitioner evaluation.</w:t>
            </w:r>
          </w:p>
        </w:tc>
        <w:tc>
          <w:tcPr>
            <w:tcW w:w="2664" w:type="dxa"/>
            <w:tcMar>
              <w:top w:w="80" w:type="dxa"/>
              <w:left w:w="90" w:type="dxa"/>
              <w:bottom w:w="80" w:type="dxa"/>
              <w:right w:w="90" w:type="dxa"/>
            </w:tcMar>
            <w:vAlign w:val="center"/>
          </w:tcPr>
          <w:p w14:paraId="58F925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One organisational setting cannot establish general superiority.</w:t>
            </w:r>
          </w:p>
        </w:tc>
      </w:tr>
      <w:tr w:rsidR="00FE2287" w:rsidRPr="00E4528F" w14:paraId="3B8BC656" w14:textId="77777777">
        <w:trPr>
          <w:cantSplit/>
          <w:jc w:val="center"/>
        </w:trPr>
        <w:tc>
          <w:tcPr>
            <w:tcW w:w="1656" w:type="dxa"/>
            <w:shd w:val="clear" w:color="auto" w:fill="F3F6F9"/>
            <w:tcMar>
              <w:top w:w="80" w:type="dxa"/>
              <w:left w:w="90" w:type="dxa"/>
              <w:bottom w:w="80" w:type="dxa"/>
              <w:right w:w="90" w:type="dxa"/>
            </w:tcMar>
            <w:vAlign w:val="center"/>
          </w:tcPr>
          <w:p w14:paraId="2617AA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Schrijver et al. (2024)</w:t>
            </w:r>
          </w:p>
        </w:tc>
        <w:tc>
          <w:tcPr>
            <w:tcW w:w="2376" w:type="dxa"/>
            <w:shd w:val="clear" w:color="auto" w:fill="F3F6F9"/>
            <w:tcMar>
              <w:top w:w="80" w:type="dxa"/>
              <w:left w:w="90" w:type="dxa"/>
              <w:bottom w:w="80" w:type="dxa"/>
              <w:right w:w="90" w:type="dxa"/>
            </w:tcMar>
            <w:vAlign w:val="center"/>
          </w:tcPr>
          <w:p w14:paraId="74FB29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Systematic review of automobile-fraud detection.</w:t>
            </w:r>
          </w:p>
        </w:tc>
        <w:tc>
          <w:tcPr>
            <w:tcW w:w="1944" w:type="dxa"/>
            <w:shd w:val="clear" w:color="auto" w:fill="F3F6F9"/>
            <w:tcMar>
              <w:top w:w="80" w:type="dxa"/>
              <w:left w:w="90" w:type="dxa"/>
              <w:bottom w:w="80" w:type="dxa"/>
              <w:right w:w="90" w:type="dxa"/>
            </w:tcMar>
            <w:vAlign w:val="center"/>
          </w:tcPr>
          <w:p w14:paraId="62807D5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method and metric synthesis.</w:t>
            </w:r>
          </w:p>
        </w:tc>
        <w:tc>
          <w:tcPr>
            <w:tcW w:w="2664" w:type="dxa"/>
            <w:shd w:val="clear" w:color="auto" w:fill="F3F6F9"/>
            <w:tcMar>
              <w:top w:w="80" w:type="dxa"/>
              <w:left w:w="90" w:type="dxa"/>
              <w:bottom w:w="80" w:type="dxa"/>
              <w:right w:w="90" w:type="dxa"/>
            </w:tcMar>
            <w:vAlign w:val="center"/>
          </w:tcPr>
          <w:p w14:paraId="7655257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Exposes comparability gaps rather than proving one best model.</w:t>
            </w:r>
          </w:p>
        </w:tc>
      </w:tr>
      <w:tr w:rsidR="00FE2287" w:rsidRPr="00E4528F" w14:paraId="155AAEEF" w14:textId="77777777">
        <w:trPr>
          <w:cantSplit/>
          <w:jc w:val="center"/>
        </w:trPr>
        <w:tc>
          <w:tcPr>
            <w:tcW w:w="1656" w:type="dxa"/>
            <w:tcMar>
              <w:top w:w="80" w:type="dxa"/>
              <w:left w:w="90" w:type="dxa"/>
              <w:bottom w:w="80" w:type="dxa"/>
              <w:right w:w="90" w:type="dxa"/>
            </w:tcMar>
            <w:vAlign w:val="center"/>
          </w:tcPr>
          <w:p w14:paraId="7C44A5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Kapoor and Narayanan (2023)</w:t>
            </w:r>
          </w:p>
        </w:tc>
        <w:tc>
          <w:tcPr>
            <w:tcW w:w="2376" w:type="dxa"/>
            <w:tcMar>
              <w:top w:w="80" w:type="dxa"/>
              <w:left w:w="90" w:type="dxa"/>
              <w:bottom w:w="80" w:type="dxa"/>
              <w:right w:w="90" w:type="dxa"/>
            </w:tcMar>
            <w:vAlign w:val="center"/>
          </w:tcPr>
          <w:p w14:paraId="7083E0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Leakage analysis in machine-learning research.</w:t>
            </w:r>
          </w:p>
        </w:tc>
        <w:tc>
          <w:tcPr>
            <w:tcW w:w="1944" w:type="dxa"/>
            <w:tcMar>
              <w:top w:w="80" w:type="dxa"/>
              <w:left w:w="90" w:type="dxa"/>
              <w:bottom w:w="80" w:type="dxa"/>
              <w:right w:w="90" w:type="dxa"/>
            </w:tcMar>
            <w:vAlign w:val="center"/>
          </w:tcPr>
          <w:p w14:paraId="0E441DE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Failure modes and reproducibility evidence.</w:t>
            </w:r>
          </w:p>
        </w:tc>
        <w:tc>
          <w:tcPr>
            <w:tcW w:w="2664" w:type="dxa"/>
            <w:tcMar>
              <w:top w:w="80" w:type="dxa"/>
              <w:left w:w="90" w:type="dxa"/>
              <w:bottom w:w="80" w:type="dxa"/>
              <w:right w:w="90" w:type="dxa"/>
            </w:tcMar>
            <w:vAlign w:val="center"/>
          </w:tcPr>
          <w:p w14:paraId="663B8B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Requires project-specific temporal and feature controls.</w:t>
            </w:r>
          </w:p>
        </w:tc>
      </w:tr>
      <w:tr w:rsidR="00FE2287" w:rsidRPr="00E4528F" w14:paraId="05FDC902" w14:textId="77777777">
        <w:trPr>
          <w:cantSplit/>
          <w:jc w:val="center"/>
        </w:trPr>
        <w:tc>
          <w:tcPr>
            <w:tcW w:w="1656" w:type="dxa"/>
            <w:shd w:val="clear" w:color="auto" w:fill="F3F6F9"/>
            <w:tcMar>
              <w:top w:w="80" w:type="dxa"/>
              <w:left w:w="90" w:type="dxa"/>
              <w:bottom w:w="80" w:type="dxa"/>
              <w:right w:w="90" w:type="dxa"/>
            </w:tcMar>
            <w:vAlign w:val="center"/>
          </w:tcPr>
          <w:p w14:paraId="52F5CA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Phillips et al. (2021)</w:t>
            </w:r>
          </w:p>
        </w:tc>
        <w:tc>
          <w:tcPr>
            <w:tcW w:w="2376" w:type="dxa"/>
            <w:shd w:val="clear" w:color="auto" w:fill="F3F6F9"/>
            <w:tcMar>
              <w:top w:w="80" w:type="dxa"/>
              <w:left w:w="90" w:type="dxa"/>
              <w:bottom w:w="80" w:type="dxa"/>
              <w:right w:w="90" w:type="dxa"/>
            </w:tcMar>
            <w:vAlign w:val="center"/>
          </w:tcPr>
          <w:p w14:paraId="3A6B917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Four principles for explainable AI.</w:t>
            </w:r>
          </w:p>
        </w:tc>
        <w:tc>
          <w:tcPr>
            <w:tcW w:w="1944" w:type="dxa"/>
            <w:shd w:val="clear" w:color="auto" w:fill="F3F6F9"/>
            <w:tcMar>
              <w:top w:w="80" w:type="dxa"/>
              <w:left w:w="90" w:type="dxa"/>
              <w:bottom w:w="80" w:type="dxa"/>
              <w:right w:w="90" w:type="dxa"/>
            </w:tcMar>
            <w:vAlign w:val="center"/>
          </w:tcPr>
          <w:p w14:paraId="4BB7D87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Explanation quality and knowledge limits.</w:t>
            </w:r>
          </w:p>
        </w:tc>
        <w:tc>
          <w:tcPr>
            <w:tcW w:w="2664" w:type="dxa"/>
            <w:shd w:val="clear" w:color="auto" w:fill="F3F6F9"/>
            <w:tcMar>
              <w:top w:w="80" w:type="dxa"/>
              <w:left w:w="90" w:type="dxa"/>
              <w:bottom w:w="80" w:type="dxa"/>
              <w:right w:w="90" w:type="dxa"/>
            </w:tcMar>
            <w:vAlign w:val="center"/>
          </w:tcPr>
          <w:p w14:paraId="66F9534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Explanation is not causal evidence, fairness assurance or oversight.</w:t>
            </w:r>
          </w:p>
        </w:tc>
      </w:tr>
      <w:tr w:rsidR="00FE2287" w:rsidRPr="00E4528F" w14:paraId="6E398DCD" w14:textId="77777777">
        <w:trPr>
          <w:cantSplit/>
          <w:jc w:val="center"/>
        </w:trPr>
        <w:tc>
          <w:tcPr>
            <w:tcW w:w="1656" w:type="dxa"/>
            <w:tcMar>
              <w:top w:w="80" w:type="dxa"/>
              <w:left w:w="90" w:type="dxa"/>
              <w:bottom w:w="80" w:type="dxa"/>
              <w:right w:w="90" w:type="dxa"/>
            </w:tcMar>
            <w:vAlign w:val="center"/>
          </w:tcPr>
          <w:p w14:paraId="7414F3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Dimitriadis et al. (2024)</w:t>
            </w:r>
          </w:p>
        </w:tc>
        <w:tc>
          <w:tcPr>
            <w:tcW w:w="2376" w:type="dxa"/>
            <w:tcMar>
              <w:top w:w="80" w:type="dxa"/>
              <w:left w:w="90" w:type="dxa"/>
              <w:bottom w:w="80" w:type="dxa"/>
              <w:right w:w="90" w:type="dxa"/>
            </w:tcMar>
            <w:vAlign w:val="center"/>
          </w:tcPr>
          <w:p w14:paraId="62DD6B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Joint evaluation of calibration, discrimination and utility.</w:t>
            </w:r>
          </w:p>
        </w:tc>
        <w:tc>
          <w:tcPr>
            <w:tcW w:w="1944" w:type="dxa"/>
            <w:tcMar>
              <w:top w:w="80" w:type="dxa"/>
              <w:left w:w="90" w:type="dxa"/>
              <w:bottom w:w="80" w:type="dxa"/>
              <w:right w:w="90" w:type="dxa"/>
            </w:tcMar>
            <w:vAlign w:val="center"/>
          </w:tcPr>
          <w:p w14:paraId="636F7A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Reliability, ROC and Murphy diagnostics.</w:t>
            </w:r>
          </w:p>
        </w:tc>
        <w:tc>
          <w:tcPr>
            <w:tcW w:w="2664" w:type="dxa"/>
            <w:tcMar>
              <w:top w:w="80" w:type="dxa"/>
              <w:left w:w="90" w:type="dxa"/>
              <w:bottom w:w="80" w:type="dxa"/>
              <w:right w:w="90" w:type="dxa"/>
            </w:tcMar>
            <w:vAlign w:val="center"/>
          </w:tcPr>
          <w:p w14:paraId="46A976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Evaluation guidance needs translation into investigative workload.</w:t>
            </w:r>
          </w:p>
        </w:tc>
      </w:tr>
      <w:tr w:rsidR="00FE2287" w:rsidRPr="00E4528F" w14:paraId="7B6EEA2B" w14:textId="77777777">
        <w:trPr>
          <w:cantSplit/>
          <w:jc w:val="center"/>
        </w:trPr>
        <w:tc>
          <w:tcPr>
            <w:tcW w:w="1656" w:type="dxa"/>
            <w:shd w:val="clear" w:color="auto" w:fill="F3F6F9"/>
            <w:tcMar>
              <w:top w:w="80" w:type="dxa"/>
              <w:left w:w="90" w:type="dxa"/>
              <w:bottom w:w="80" w:type="dxa"/>
              <w:right w:w="90" w:type="dxa"/>
            </w:tcMar>
            <w:vAlign w:val="center"/>
          </w:tcPr>
          <w:p w14:paraId="3101E6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lastRenderedPageBreak/>
              <w:t>This study</w:t>
            </w:r>
          </w:p>
        </w:tc>
        <w:tc>
          <w:tcPr>
            <w:tcW w:w="2376" w:type="dxa"/>
            <w:shd w:val="clear" w:color="auto" w:fill="F3F6F9"/>
            <w:tcMar>
              <w:top w:w="80" w:type="dxa"/>
              <w:left w:w="90" w:type="dxa"/>
              <w:bottom w:w="80" w:type="dxa"/>
              <w:right w:w="90" w:type="dxa"/>
            </w:tcMar>
            <w:vAlign w:val="center"/>
          </w:tcPr>
          <w:p w14:paraId="31063E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Public verification surface plus private, replay-aware analytical pipeline.</w:t>
            </w:r>
          </w:p>
        </w:tc>
        <w:tc>
          <w:tcPr>
            <w:tcW w:w="1944" w:type="dxa"/>
            <w:shd w:val="clear" w:color="auto" w:fill="F3F6F9"/>
            <w:tcMar>
              <w:top w:w="80" w:type="dxa"/>
              <w:left w:w="90" w:type="dxa"/>
              <w:bottom w:w="80" w:type="dxa"/>
              <w:right w:w="90" w:type="dxa"/>
            </w:tcMar>
            <w:vAlign w:val="center"/>
          </w:tcPr>
          <w:p w14:paraId="5785E05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Chronological model test and automated system verification.</w:t>
            </w:r>
          </w:p>
        </w:tc>
        <w:tc>
          <w:tcPr>
            <w:tcW w:w="2664" w:type="dxa"/>
            <w:shd w:val="clear" w:color="auto" w:fill="F3F6F9"/>
            <w:tcMar>
              <w:top w:w="80" w:type="dxa"/>
              <w:left w:w="90" w:type="dxa"/>
              <w:bottom w:w="80" w:type="dxa"/>
              <w:right w:w="90" w:type="dxa"/>
            </w:tcMar>
            <w:vAlign w:val="center"/>
          </w:tcPr>
          <w:p w14:paraId="45FC4EF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real-claim validation or controlled production performance benchmark.</w:t>
            </w:r>
          </w:p>
        </w:tc>
      </w:tr>
    </w:tbl>
    <w:p w14:paraId="691A5E8B" w14:textId="77777777" w:rsidR="00FE2287" w:rsidRPr="00E4528F" w:rsidRDefault="00FE2287">
      <w:pPr>
        <w:spacing w:after="0"/>
        <w:rPr>
          <w:rFonts w:cs="Times New Roman"/>
          <w:color w:val="000000" w:themeColor="text1"/>
        </w:rPr>
      </w:pPr>
    </w:p>
    <w:p w14:paraId="33A9DC21" w14:textId="77777777" w:rsidR="00FE2287" w:rsidRPr="00E4528F" w:rsidRDefault="00000000">
      <w:pPr>
        <w:pStyle w:val="Heading1"/>
        <w:pageBreakBefore/>
        <w:rPr>
          <w:rFonts w:ascii="Times New Roman" w:hAnsi="Times New Roman" w:cs="Times New Roman"/>
          <w:color w:val="000000" w:themeColor="text1"/>
          <w:sz w:val="40"/>
          <w:szCs w:val="40"/>
        </w:rPr>
      </w:pPr>
      <w:bookmarkStart w:id="21" w:name="bm_ch3"/>
      <w:r w:rsidRPr="00E4528F">
        <w:rPr>
          <w:rFonts w:ascii="Times New Roman" w:hAnsi="Times New Roman" w:cs="Times New Roman"/>
          <w:color w:val="000000" w:themeColor="text1"/>
          <w:sz w:val="40"/>
          <w:szCs w:val="40"/>
        </w:rPr>
        <w:lastRenderedPageBreak/>
        <w:t>Chapter 3: Methodology and System Design</w:t>
      </w:r>
      <w:bookmarkEnd w:id="21"/>
    </w:p>
    <w:p w14:paraId="166EAB78" w14:textId="44D184E6" w:rsidR="00FE2287" w:rsidRPr="00E4528F" w:rsidRDefault="00000000">
      <w:pPr>
        <w:rPr>
          <w:rFonts w:cs="Times New Roman"/>
          <w:color w:val="000000" w:themeColor="text1"/>
        </w:rPr>
      </w:pPr>
      <w:r w:rsidRPr="00E4528F">
        <w:rPr>
          <w:rFonts w:cs="Times New Roman"/>
          <w:color w:val="000000" w:themeColor="text1"/>
        </w:rPr>
        <w:t xml:space="preserve">This chapter explains how the research question was translated into a working prototype and an evaluation plan. The study followed a design-science process: define the problem, derive requirements, build the prototype, and evaluate its value and limits. Recent studies use similar build-and-evaluate cycles for AI decision-support systems </w:t>
      </w:r>
      <w:sdt>
        <w:sdtPr>
          <w:rPr>
            <w:rFonts w:cs="Times New Roman"/>
            <w:color w:val="000000" w:themeColor="text1"/>
          </w:rPr>
          <w:id w:val="12000003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 The methodology distinguishes what was planned, what was implemented and what was actually measured. A component that could scale is not proof that it does scale.</w:t>
      </w:r>
    </w:p>
    <w:p w14:paraId="2EB4C707" w14:textId="77777777" w:rsidR="00FE2287" w:rsidRPr="00E4528F" w:rsidRDefault="00000000">
      <w:pPr>
        <w:pStyle w:val="Heading2"/>
        <w:rPr>
          <w:rFonts w:ascii="Times New Roman" w:hAnsi="Times New Roman" w:cs="Times New Roman"/>
          <w:color w:val="000000" w:themeColor="text1"/>
          <w:sz w:val="32"/>
          <w:szCs w:val="32"/>
        </w:rPr>
      </w:pPr>
      <w:bookmarkStart w:id="22" w:name="bm_s3_1"/>
      <w:r w:rsidRPr="00E4528F">
        <w:rPr>
          <w:rFonts w:ascii="Times New Roman" w:hAnsi="Times New Roman" w:cs="Times New Roman"/>
          <w:color w:val="000000" w:themeColor="text1"/>
          <w:sz w:val="32"/>
          <w:szCs w:val="32"/>
        </w:rPr>
        <w:t>3.1 Research strategy</w:t>
      </w:r>
      <w:bookmarkEnd w:id="22"/>
    </w:p>
    <w:p w14:paraId="6844265E" w14:textId="77777777" w:rsidR="00FE2287" w:rsidRPr="00E4528F" w:rsidRDefault="00000000">
      <w:pPr>
        <w:rPr>
          <w:rFonts w:cs="Times New Roman"/>
          <w:color w:val="000000" w:themeColor="text1"/>
        </w:rPr>
      </w:pPr>
      <w:r w:rsidRPr="00E4528F">
        <w:rPr>
          <w:rFonts w:cs="Times New Roman"/>
          <w:color w:val="000000" w:themeColor="text1"/>
        </w:rPr>
        <w:t xml:space="preserve">Design science was appropriate because the central output is socio-technical: contracts, services, schemas, event semantics, a trained model and a proposed human-review boundary. A stand-alone ML experiment would not show how a claim reaches the model with verifiable provenance. A conceptual architecture would hide the integration failures that appear only when components exchange real messages. The work moved iteratively between the problem, the design and executable checks, consistent with recent design-science work on explainable and AI-enabled decision support </w:t>
      </w:r>
      <w:sdt>
        <w:sdtPr>
          <w:rPr>
            <w:rFonts w:cs="Times New Roman"/>
            <w:color w:val="000000" w:themeColor="text1"/>
          </w:rPr>
          <w:id w:val="12000003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w:t>
      </w:r>
    </w:p>
    <w:p w14:paraId="1980C149" w14:textId="49AC6534" w:rsidR="00FE2287" w:rsidRPr="00E4528F" w:rsidRDefault="00000000">
      <w:pPr>
        <w:rPr>
          <w:rFonts w:cs="Times New Roman"/>
          <w:color w:val="000000" w:themeColor="text1"/>
        </w:rPr>
      </w:pPr>
      <w:r w:rsidRPr="00E4528F">
        <w:rPr>
          <w:rFonts w:cs="Times New Roman"/>
          <w:color w:val="000000" w:themeColor="text1"/>
        </w:rPr>
        <w:t xml:space="preserve">The prototype was treated as an instrument for inquiry rather than as evidence of production readiness. Evaluation combined predictive evidence and software verification, with performance benchmarking identified as a missing third stream. Recent design-science work shows that technical experiments and user or context-oriented evaluation answer different questions and can be staged across artifact maturity </w:t>
      </w:r>
      <w:sdt>
        <w:sdtPr>
          <w:rPr>
            <w:rFonts w:cs="Times New Roman"/>
            <w:color w:val="000000" w:themeColor="text1"/>
          </w:rPr>
          <w:id w:val="12000003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 Evaluation was mapped selectively to testing, quality, security and operational concerns in the openly available IEEE software-engineering body of knowledge</w:t>
      </w:r>
      <w:r w:rsidR="004F535C" w:rsidRPr="00E4528F">
        <w:rPr>
          <w:rFonts w:cs="Times New Roman"/>
          <w:color w:val="000000" w:themeColor="text1"/>
        </w:rPr>
        <w:t>.</w:t>
      </w:r>
      <w:r w:rsidRPr="00E4528F">
        <w:rPr>
          <w:rFonts w:cs="Times New Roman"/>
          <w:color w:val="000000" w:themeColor="text1"/>
        </w:rPr>
        <w:t xml:space="preserve"> </w:t>
      </w:r>
      <w:r w:rsidR="004F535C" w:rsidRPr="00E4528F">
        <w:rPr>
          <w:rFonts w:cs="Times New Roman"/>
          <w:color w:val="000000" w:themeColor="text1"/>
        </w:rPr>
        <w:t>T</w:t>
      </w:r>
      <w:r w:rsidRPr="00E4528F">
        <w:rPr>
          <w:rFonts w:cs="Times New Roman"/>
          <w:color w:val="000000" w:themeColor="text1"/>
        </w:rPr>
        <w:t xml:space="preserve">his is an </w:t>
      </w:r>
      <w:r w:rsidR="00926696" w:rsidRPr="00E4528F">
        <w:rPr>
          <w:rFonts w:cs="Times New Roman"/>
          <w:color w:val="000000" w:themeColor="text1"/>
        </w:rPr>
        <w:t>organising</w:t>
      </w:r>
      <w:r w:rsidRPr="00E4528F">
        <w:rPr>
          <w:rFonts w:cs="Times New Roman"/>
          <w:color w:val="000000" w:themeColor="text1"/>
        </w:rPr>
        <w:t xml:space="preserve"> frame, not a claim of conformance </w:t>
      </w:r>
      <w:sdt>
        <w:sdtPr>
          <w:rPr>
            <w:rFonts w:cs="Times New Roman"/>
            <w:color w:val="000000" w:themeColor="text1"/>
          </w:rPr>
          <w:id w:val="12000003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rsidRPr="00E4528F">
        <w:rPr>
          <w:rFonts w:cs="Times New Roman"/>
          <w:color w:val="000000" w:themeColor="text1"/>
        </w:rPr>
        <w:t xml:space="preserve">. Code, migrations, model metadata and exact commands were retained because computational reproducibility depends on an inspectable execution trail </w:t>
      </w:r>
      <w:sdt>
        <w:sdtPr>
          <w:rPr>
            <w:rFonts w:cs="Times New Roman"/>
            <w:color w:val="000000" w:themeColor="text1"/>
          </w:rPr>
          <w:id w:val="12000003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Pin21 \l 1033 </w:instrText>
          </w:r>
          <w:r w:rsidRPr="00E4528F">
            <w:rPr>
              <w:rFonts w:cs="Times New Roman"/>
              <w:color w:val="000000" w:themeColor="text1"/>
            </w:rPr>
            <w:fldChar w:fldCharType="separate"/>
          </w:r>
          <w:r w:rsidRPr="00E4528F">
            <w:rPr>
              <w:rFonts w:cs="Times New Roman"/>
              <w:noProof/>
              <w:color w:val="000000" w:themeColor="text1"/>
            </w:rPr>
            <w:t>(Pineau et al., 2021)</w:t>
          </w:r>
          <w:r w:rsidRPr="00E4528F">
            <w:rPr>
              <w:rFonts w:cs="Times New Roman"/>
              <w:color w:val="000000" w:themeColor="text1"/>
            </w:rPr>
            <w:fldChar w:fldCharType="end"/>
          </w:r>
        </w:sdtContent>
      </w:sdt>
      <w:r w:rsidRPr="00E4528F">
        <w:rPr>
          <w:rFonts w:cs="Times New Roman"/>
          <w:color w:val="000000" w:themeColor="text1"/>
        </w:rPr>
        <w:t>.</w:t>
      </w:r>
    </w:p>
    <w:p w14:paraId="7B83DEE3" w14:textId="77777777" w:rsidR="00FE2287" w:rsidRPr="00E4528F" w:rsidRDefault="00000000">
      <w:pPr>
        <w:rPr>
          <w:rFonts w:cs="Times New Roman"/>
          <w:color w:val="000000" w:themeColor="text1"/>
        </w:rPr>
      </w:pPr>
      <w:r w:rsidRPr="00E4528F">
        <w:rPr>
          <w:rFonts w:cs="Times New Roman"/>
          <w:color w:val="000000" w:themeColor="text1"/>
        </w:rPr>
        <w:lastRenderedPageBreak/>
        <w:t xml:space="preserve">Failure questions also guided the design: What happens when a message arrives twice? Can the relayer act without an insurer signature? Which fields become public? Can an assessment be overwritten? What if the listener stops after persistence but before acknowledgement? These questions were more useful than an idealised happy-path diagram because they exposed the boundaries between systems. The resulting controls are compared with current secure-development and AI risk-management guidance </w:t>
      </w:r>
      <w:sdt>
        <w:sdtPr>
          <w:rPr>
            <w:rFonts w:cs="Times New Roman"/>
            <w:color w:val="000000" w:themeColor="text1"/>
          </w:rPr>
          <w:id w:val="12000003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Sou22 \l 1033  \m Tab23</w:instrText>
          </w:r>
          <w:r w:rsidRPr="00E4528F">
            <w:rPr>
              <w:rFonts w:cs="Times New Roman"/>
              <w:color w:val="000000" w:themeColor="text1"/>
            </w:rPr>
            <w:fldChar w:fldCharType="separate"/>
          </w:r>
          <w:r w:rsidRPr="00E4528F">
            <w:rPr>
              <w:rFonts w:cs="Times New Roman"/>
              <w:noProof/>
              <w:color w:val="000000" w:themeColor="text1"/>
            </w:rPr>
            <w:t>(Souppaya, Scarfone and Dodson, 2022; Tabassi, 2023)</w:t>
          </w:r>
          <w:r w:rsidRPr="00E4528F">
            <w:rPr>
              <w:rFonts w:cs="Times New Roman"/>
              <w:color w:val="000000" w:themeColor="text1"/>
            </w:rPr>
            <w:fldChar w:fldCharType="end"/>
          </w:r>
        </w:sdtContent>
      </w:sdt>
      <w:r w:rsidRPr="00E4528F">
        <w:rPr>
          <w:rFonts w:cs="Times New Roman"/>
          <w:color w:val="000000" w:themeColor="text1"/>
        </w:rPr>
        <w:t>.</w:t>
      </w:r>
    </w:p>
    <w:p w14:paraId="0D0AB4B6" w14:textId="2E577E6B" w:rsidR="00FE2287" w:rsidRPr="00E4528F" w:rsidRDefault="00000000">
      <w:pPr>
        <w:rPr>
          <w:rFonts w:cs="Times New Roman"/>
          <w:color w:val="000000" w:themeColor="text1"/>
        </w:rPr>
      </w:pPr>
      <w:r>
        <w:rPr>
          <w:rFonts w:cs="Times New Roman"/>
          <w:color w:val="000000" w:themeColor="text1"/>
        </w:rPr>
        <w:t>The build did not follow a straight line. The first version supported insurer-originated registration and scoring. Later tests separated gas payment from authority through typed signatures and a restricted relayer. The main branch now uses a one-time wallet session, authoritative policy eligibility, an insurer-scoped ClaimPermit and a claimant-signed ERC-2771 request. This change made public intake possible while retaining an explicit policy and insurer boundary. Subsequent revisions added durable checkpoints, a searchable chain index and a keyed duplicate service. A Kafka review exposed another failure mode: one permanently malformed claim could be retried forever and block a partition. The worker now distinguishes temporary infrastructure failures from permanent input errors and records only a small quarantine entry before committing the rejected offset. Finally, an independent human-assessor API was added so that investigative conclusions are append-only and remain separate from both model status and claim adjudication. These changes are visible in the repository history and explain the emphasis on trust boundaries, replay and commit ordering</w:t>
      </w:r>
      <w:r w:rsidR="00926696">
        <w:rPr>
          <w:rFonts w:cs="Times New Roman"/>
          <w:color w:val="000000" w:themeColor="text1"/>
        </w:rPr>
        <w:t>.</w:t>
      </w:r>
    </w:p>
    <w:p w14:paraId="6EC36289" w14:textId="77777777" w:rsidR="00FE2287" w:rsidRPr="00E4528F" w:rsidRDefault="00000000">
      <w:pPr>
        <w:pStyle w:val="Heading2"/>
        <w:rPr>
          <w:rFonts w:ascii="Times New Roman" w:hAnsi="Times New Roman" w:cs="Times New Roman"/>
          <w:color w:val="000000" w:themeColor="text1"/>
          <w:sz w:val="32"/>
          <w:szCs w:val="32"/>
        </w:rPr>
      </w:pPr>
      <w:bookmarkStart w:id="23" w:name="bm_s3_2"/>
      <w:r w:rsidRPr="00E4528F">
        <w:rPr>
          <w:rFonts w:ascii="Times New Roman" w:hAnsi="Times New Roman" w:cs="Times New Roman"/>
          <w:color w:val="000000" w:themeColor="text1"/>
          <w:sz w:val="32"/>
          <w:szCs w:val="32"/>
        </w:rPr>
        <w:t>3.2 Requirements and threat model</w:t>
      </w:r>
      <w:bookmarkEnd w:id="23"/>
    </w:p>
    <w:p w14:paraId="58A8195B" w14:textId="77777777" w:rsidR="00FE2287" w:rsidRDefault="00000000">
      <w:pPr>
        <w:rPr>
          <w:rFonts w:cs="Times New Roman"/>
          <w:color w:val="000000" w:themeColor="text1"/>
        </w:rPr>
      </w:pPr>
      <w:r w:rsidRPr="00E4528F">
        <w:rPr>
          <w:rFonts w:cs="Times New Roman"/>
          <w:color w:val="000000" w:themeColor="text1"/>
        </w:rPr>
        <w:t>Table 3.1 states the main requirements in a testable form. Functional requirements cover registration, content binding, lifecycle state, asynchronous scoring and duplicate review. Quality requirements cover least privilege, replay safety, data minimisation, reproducibility and accessibility. Requirements are written without assuming a specific vendor, except where the prototype itself is being documented.</w:t>
      </w:r>
    </w:p>
    <w:p w14:paraId="24FFECEE" w14:textId="77777777" w:rsidR="00813CEA" w:rsidRDefault="00813CEA">
      <w:pPr>
        <w:rPr>
          <w:rFonts w:cs="Times New Roman"/>
          <w:color w:val="000000" w:themeColor="text1"/>
        </w:rPr>
      </w:pPr>
    </w:p>
    <w:p w14:paraId="61295578" w14:textId="77777777" w:rsidR="00813CEA" w:rsidRDefault="00813CEA">
      <w:pPr>
        <w:rPr>
          <w:rFonts w:cs="Times New Roman"/>
          <w:color w:val="000000" w:themeColor="text1"/>
        </w:rPr>
      </w:pPr>
    </w:p>
    <w:p w14:paraId="18F8C2CC" w14:textId="77777777" w:rsidR="00813CEA" w:rsidRPr="00E4528F" w:rsidRDefault="00813CEA">
      <w:pPr>
        <w:rPr>
          <w:rFonts w:cs="Times New Roman"/>
          <w:color w:val="000000" w:themeColor="text1"/>
        </w:rPr>
      </w:pPr>
    </w:p>
    <w:p w14:paraId="43E18E00" w14:textId="77777777" w:rsidR="00FE2287" w:rsidRPr="00E4528F" w:rsidRDefault="00000000" w:rsidP="008B57BA">
      <w:pPr>
        <w:pStyle w:val="Caption"/>
        <w:rPr>
          <w:rFonts w:cs="Times New Roman"/>
          <w:color w:val="000000" w:themeColor="text1"/>
        </w:rPr>
      </w:pPr>
      <w:bookmarkStart w:id="24" w:name="bm_tab_req"/>
      <w:r w:rsidRPr="00E4528F">
        <w:rPr>
          <w:rFonts w:cs="Times New Roman"/>
          <w:color w:val="000000" w:themeColor="text1"/>
        </w:rPr>
        <w:lastRenderedPageBreak/>
        <w:t>Table 3.1. Design requirements and verification approach</w:t>
      </w:r>
      <w:bookmarkEnd w:id="2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605"/>
        <w:gridCol w:w="2448"/>
        <w:gridCol w:w="3096"/>
        <w:gridCol w:w="2491"/>
      </w:tblGrid>
      <w:tr w:rsidR="00FE2287" w:rsidRPr="00E4528F" w14:paraId="37E357CD" w14:textId="77777777">
        <w:trPr>
          <w:cantSplit/>
          <w:tblHeader/>
          <w:jc w:val="center"/>
        </w:trPr>
        <w:tc>
          <w:tcPr>
            <w:tcW w:w="605" w:type="dxa"/>
            <w:shd w:val="clear" w:color="auto" w:fill="17365D"/>
            <w:tcMar>
              <w:top w:w="80" w:type="dxa"/>
              <w:left w:w="90" w:type="dxa"/>
              <w:bottom w:w="80" w:type="dxa"/>
              <w:right w:w="90" w:type="dxa"/>
            </w:tcMar>
            <w:vAlign w:val="center"/>
          </w:tcPr>
          <w:p w14:paraId="3F117CF4"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ID</w:t>
            </w:r>
          </w:p>
        </w:tc>
        <w:tc>
          <w:tcPr>
            <w:tcW w:w="2448" w:type="dxa"/>
            <w:shd w:val="clear" w:color="auto" w:fill="17365D"/>
            <w:tcMar>
              <w:top w:w="80" w:type="dxa"/>
              <w:left w:w="90" w:type="dxa"/>
              <w:bottom w:w="80" w:type="dxa"/>
              <w:right w:w="90" w:type="dxa"/>
            </w:tcMar>
            <w:vAlign w:val="center"/>
          </w:tcPr>
          <w:p w14:paraId="1CF36626"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Requirement</w:t>
            </w:r>
          </w:p>
        </w:tc>
        <w:tc>
          <w:tcPr>
            <w:tcW w:w="3096" w:type="dxa"/>
            <w:shd w:val="clear" w:color="auto" w:fill="17365D"/>
            <w:tcMar>
              <w:top w:w="80" w:type="dxa"/>
              <w:left w:w="90" w:type="dxa"/>
              <w:bottom w:w="80" w:type="dxa"/>
              <w:right w:w="90" w:type="dxa"/>
            </w:tcMar>
            <w:vAlign w:val="center"/>
          </w:tcPr>
          <w:p w14:paraId="40A27A8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Design response</w:t>
            </w:r>
          </w:p>
        </w:tc>
        <w:tc>
          <w:tcPr>
            <w:tcW w:w="2491" w:type="dxa"/>
            <w:shd w:val="clear" w:color="auto" w:fill="17365D"/>
            <w:tcMar>
              <w:top w:w="80" w:type="dxa"/>
              <w:left w:w="90" w:type="dxa"/>
              <w:bottom w:w="80" w:type="dxa"/>
              <w:right w:w="90" w:type="dxa"/>
            </w:tcMar>
            <w:vAlign w:val="center"/>
          </w:tcPr>
          <w:p w14:paraId="34443649"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Evidence</w:t>
            </w:r>
          </w:p>
        </w:tc>
      </w:tr>
      <w:tr w:rsidR="00FE2287" w:rsidRPr="00E4528F" w14:paraId="65C75FDA" w14:textId="77777777">
        <w:trPr>
          <w:cantSplit/>
          <w:jc w:val="center"/>
        </w:trPr>
        <w:tc>
          <w:tcPr>
            <w:tcW w:w="605" w:type="dxa"/>
            <w:tcMar>
              <w:top w:w="80" w:type="dxa"/>
              <w:left w:w="90" w:type="dxa"/>
              <w:bottom w:w="80" w:type="dxa"/>
              <w:right w:w="90" w:type="dxa"/>
            </w:tcMar>
            <w:vAlign w:val="center"/>
          </w:tcPr>
          <w:p w14:paraId="27AC1FAD"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R1</w:t>
            </w:r>
          </w:p>
        </w:tc>
        <w:tc>
          <w:tcPr>
            <w:tcW w:w="2448" w:type="dxa"/>
            <w:tcMar>
              <w:top w:w="80" w:type="dxa"/>
              <w:left w:w="90" w:type="dxa"/>
              <w:bottom w:w="80" w:type="dxa"/>
              <w:right w:w="90" w:type="dxa"/>
            </w:tcMar>
            <w:vAlign w:val="center"/>
          </w:tcPr>
          <w:p w14:paraId="1147FF46"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 claimant or authorised representative may register only after identity, policy eligibility and insurer authorisation are bound to the exact request.</w:t>
            </w:r>
          </w:p>
        </w:tc>
        <w:tc>
          <w:tcPr>
            <w:tcW w:w="3096" w:type="dxa"/>
            <w:tcMar>
              <w:top w:w="80" w:type="dxa"/>
              <w:left w:w="90" w:type="dxa"/>
              <w:bottom w:w="80" w:type="dxa"/>
              <w:right w:w="90" w:type="dxa"/>
            </w:tcMar>
            <w:vAlign w:val="center"/>
          </w:tcPr>
          <w:p w14:paraId="1218E897" w14:textId="011714BD" w:rsidR="00FE2287" w:rsidRPr="00E4528F" w:rsidRDefault="00000000">
            <w:pPr>
              <w:spacing w:after="0" w:line="240" w:lineRule="auto"/>
              <w:rPr>
                <w:rFonts w:cs="Times New Roman"/>
                <w:color w:val="000000" w:themeColor="text1"/>
              </w:rPr>
            </w:pPr>
            <w:r>
              <w:rPr>
                <w:rFonts w:cs="Times New Roman"/>
                <w:color w:val="000000" w:themeColor="text1"/>
                <w:sz w:val="15"/>
              </w:rPr>
              <w:t>One-time wallet session, authoritative policy-adapter result, single-use insurer ClaimPermit and exact ERC-2771 signature.</w:t>
            </w:r>
          </w:p>
        </w:tc>
        <w:tc>
          <w:tcPr>
            <w:tcW w:w="2491" w:type="dxa"/>
            <w:tcMar>
              <w:top w:w="80" w:type="dxa"/>
              <w:left w:w="90" w:type="dxa"/>
              <w:bottom w:w="80" w:type="dxa"/>
              <w:right w:w="90" w:type="dxa"/>
            </w:tcMar>
            <w:vAlign w:val="center"/>
          </w:tcPr>
          <w:p w14:paraId="609F9942" w14:textId="2CE36E6B" w:rsidR="00FE2287" w:rsidRPr="00E4528F" w:rsidRDefault="00000000">
            <w:pPr>
              <w:spacing w:after="0" w:line="240" w:lineRule="auto"/>
              <w:rPr>
                <w:rFonts w:cs="Times New Roman"/>
                <w:color w:val="000000" w:themeColor="text1"/>
              </w:rPr>
            </w:pPr>
            <w:r>
              <w:rPr>
                <w:rFonts w:cs="Times New Roman"/>
                <w:color w:val="000000" w:themeColor="text1"/>
                <w:sz w:val="15"/>
              </w:rPr>
              <w:t>Wallet-authentication, policy, permit, forwarder and contract tests.</w:t>
            </w:r>
          </w:p>
        </w:tc>
      </w:tr>
      <w:tr w:rsidR="00FE2287" w:rsidRPr="00E4528F" w14:paraId="08449638" w14:textId="77777777">
        <w:trPr>
          <w:cantSplit/>
          <w:jc w:val="center"/>
        </w:trPr>
        <w:tc>
          <w:tcPr>
            <w:tcW w:w="605" w:type="dxa"/>
            <w:shd w:val="clear" w:color="auto" w:fill="F3F6F9"/>
            <w:tcMar>
              <w:top w:w="80" w:type="dxa"/>
              <w:left w:w="90" w:type="dxa"/>
              <w:bottom w:w="80" w:type="dxa"/>
              <w:right w:w="90" w:type="dxa"/>
            </w:tcMar>
            <w:vAlign w:val="center"/>
          </w:tcPr>
          <w:p w14:paraId="2CB517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R2</w:t>
            </w:r>
          </w:p>
        </w:tc>
        <w:tc>
          <w:tcPr>
            <w:tcW w:w="2448" w:type="dxa"/>
            <w:shd w:val="clear" w:color="auto" w:fill="F3F6F9"/>
            <w:tcMar>
              <w:top w:w="80" w:type="dxa"/>
              <w:left w:w="90" w:type="dxa"/>
              <w:bottom w:w="80" w:type="dxa"/>
              <w:right w:w="90" w:type="dxa"/>
            </w:tcMar>
            <w:vAlign w:val="center"/>
          </w:tcPr>
          <w:p w14:paraId="3A43D8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 registry record must be bound to its off-chain content.</w:t>
            </w:r>
          </w:p>
        </w:tc>
        <w:tc>
          <w:tcPr>
            <w:tcW w:w="3096" w:type="dxa"/>
            <w:shd w:val="clear" w:color="auto" w:fill="F3F6F9"/>
            <w:tcMar>
              <w:top w:w="80" w:type="dxa"/>
              <w:left w:w="90" w:type="dxa"/>
              <w:bottom w:w="80" w:type="dxa"/>
              <w:right w:w="90" w:type="dxa"/>
            </w:tcMar>
            <w:vAlign w:val="center"/>
          </w:tcPr>
          <w:p w14:paraId="57E6A4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Bounded IPFS CID plus SHA-256 claim-content hash.</w:t>
            </w:r>
          </w:p>
        </w:tc>
        <w:tc>
          <w:tcPr>
            <w:tcW w:w="2491" w:type="dxa"/>
            <w:shd w:val="clear" w:color="auto" w:fill="F3F6F9"/>
            <w:tcMar>
              <w:top w:w="80" w:type="dxa"/>
              <w:left w:w="90" w:type="dxa"/>
              <w:bottom w:w="80" w:type="dxa"/>
              <w:right w:w="90" w:type="dxa"/>
            </w:tcMar>
            <w:vAlign w:val="center"/>
          </w:tcPr>
          <w:p w14:paraId="465364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Content verification and schema tests.</w:t>
            </w:r>
          </w:p>
        </w:tc>
      </w:tr>
      <w:tr w:rsidR="00FE2287" w:rsidRPr="00E4528F" w14:paraId="06FF24A2" w14:textId="77777777">
        <w:trPr>
          <w:cantSplit/>
          <w:jc w:val="center"/>
        </w:trPr>
        <w:tc>
          <w:tcPr>
            <w:tcW w:w="605" w:type="dxa"/>
            <w:tcMar>
              <w:top w:w="80" w:type="dxa"/>
              <w:left w:w="90" w:type="dxa"/>
              <w:bottom w:w="80" w:type="dxa"/>
              <w:right w:w="90" w:type="dxa"/>
            </w:tcMar>
            <w:vAlign w:val="center"/>
          </w:tcPr>
          <w:p w14:paraId="4A4389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R3</w:t>
            </w:r>
          </w:p>
        </w:tc>
        <w:tc>
          <w:tcPr>
            <w:tcW w:w="2448" w:type="dxa"/>
            <w:tcMar>
              <w:top w:w="80" w:type="dxa"/>
              <w:left w:w="90" w:type="dxa"/>
              <w:bottom w:w="80" w:type="dxa"/>
              <w:right w:w="90" w:type="dxa"/>
            </w:tcMar>
            <w:vAlign w:val="center"/>
          </w:tcPr>
          <w:p w14:paraId="1C00002C"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Lifecycle transitions and participant attribution must be forward-only and auditable.</w:t>
            </w:r>
          </w:p>
        </w:tc>
        <w:tc>
          <w:tcPr>
            <w:tcW w:w="3096" w:type="dxa"/>
            <w:tcMar>
              <w:top w:w="80" w:type="dxa"/>
              <w:left w:w="90" w:type="dxa"/>
              <w:bottom w:w="80" w:type="dxa"/>
              <w:right w:w="90" w:type="dxa"/>
            </w:tcMar>
            <w:vAlign w:val="center"/>
          </w:tcPr>
          <w:p w14:paraId="471362B0"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Contract state machine plus ClaimPartiesRecorded for claimant, submitter and insurer.</w:t>
            </w:r>
          </w:p>
        </w:tc>
        <w:tc>
          <w:tcPr>
            <w:tcW w:w="2491" w:type="dxa"/>
            <w:tcMar>
              <w:top w:w="80" w:type="dxa"/>
              <w:left w:w="90" w:type="dxa"/>
              <w:bottom w:w="80" w:type="dxa"/>
              <w:right w:w="90" w:type="dxa"/>
            </w:tcMar>
            <w:vAlign w:val="center"/>
          </w:tcPr>
          <w:p w14:paraId="4DBDD773"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Solidity lifecycle, role, permit and party-attribution tests.</w:t>
            </w:r>
          </w:p>
        </w:tc>
      </w:tr>
      <w:tr w:rsidR="00FE2287" w:rsidRPr="00E4528F" w14:paraId="28CA2E40" w14:textId="77777777">
        <w:trPr>
          <w:cantSplit/>
          <w:jc w:val="center"/>
        </w:trPr>
        <w:tc>
          <w:tcPr>
            <w:tcW w:w="605" w:type="dxa"/>
            <w:shd w:val="clear" w:color="auto" w:fill="F3F6F9"/>
            <w:tcMar>
              <w:top w:w="80" w:type="dxa"/>
              <w:left w:w="90" w:type="dxa"/>
              <w:bottom w:w="80" w:type="dxa"/>
              <w:right w:w="90" w:type="dxa"/>
            </w:tcMar>
            <w:vAlign w:val="center"/>
          </w:tcPr>
          <w:p w14:paraId="052D03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R4</w:t>
            </w:r>
          </w:p>
        </w:tc>
        <w:tc>
          <w:tcPr>
            <w:tcW w:w="2448" w:type="dxa"/>
            <w:shd w:val="clear" w:color="auto" w:fill="F3F6F9"/>
            <w:tcMar>
              <w:top w:w="80" w:type="dxa"/>
              <w:left w:w="90" w:type="dxa"/>
              <w:bottom w:w="80" w:type="dxa"/>
              <w:right w:w="90" w:type="dxa"/>
            </w:tcMar>
            <w:vAlign w:val="center"/>
          </w:tcPr>
          <w:p w14:paraId="2AF6306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Confirmed claim events must reach analytics safely after restarts.</w:t>
            </w:r>
          </w:p>
        </w:tc>
        <w:tc>
          <w:tcPr>
            <w:tcW w:w="3096" w:type="dxa"/>
            <w:shd w:val="clear" w:color="auto" w:fill="F3F6F9"/>
            <w:tcMar>
              <w:top w:w="80" w:type="dxa"/>
              <w:left w:w="90" w:type="dxa"/>
              <w:bottom w:w="80" w:type="dxa"/>
              <w:right w:w="90" w:type="dxa"/>
            </w:tcMar>
            <w:vAlign w:val="center"/>
          </w:tcPr>
          <w:p w14:paraId="41AC7E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Range checkpoints, deterministic event IDs and acknowledged Kafka publication.</w:t>
            </w:r>
          </w:p>
        </w:tc>
        <w:tc>
          <w:tcPr>
            <w:tcW w:w="2491" w:type="dxa"/>
            <w:shd w:val="clear" w:color="auto" w:fill="F3F6F9"/>
            <w:tcMar>
              <w:top w:w="80" w:type="dxa"/>
              <w:left w:w="90" w:type="dxa"/>
              <w:bottom w:w="80" w:type="dxa"/>
              <w:right w:w="90" w:type="dxa"/>
            </w:tcMar>
            <w:vAlign w:val="center"/>
          </w:tcPr>
          <w:p w14:paraId="1173F6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Listener, outbox and idempotency tests.</w:t>
            </w:r>
          </w:p>
        </w:tc>
      </w:tr>
      <w:tr w:rsidR="00FE2287" w:rsidRPr="00E4528F" w14:paraId="462C94A9" w14:textId="77777777">
        <w:trPr>
          <w:cantSplit/>
          <w:jc w:val="center"/>
        </w:trPr>
        <w:tc>
          <w:tcPr>
            <w:tcW w:w="605" w:type="dxa"/>
            <w:tcMar>
              <w:top w:w="80" w:type="dxa"/>
              <w:left w:w="90" w:type="dxa"/>
              <w:bottom w:w="80" w:type="dxa"/>
              <w:right w:w="90" w:type="dxa"/>
            </w:tcMar>
            <w:vAlign w:val="center"/>
          </w:tcPr>
          <w:p w14:paraId="6F5D0E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R5</w:t>
            </w:r>
          </w:p>
        </w:tc>
        <w:tc>
          <w:tcPr>
            <w:tcW w:w="2448" w:type="dxa"/>
            <w:tcMar>
              <w:top w:w="80" w:type="dxa"/>
              <w:left w:w="90" w:type="dxa"/>
              <w:bottom w:w="80" w:type="dxa"/>
              <w:right w:w="90" w:type="dxa"/>
            </w:tcMar>
            <w:vAlign w:val="center"/>
          </w:tcPr>
          <w:p w14:paraId="6013D8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Repeated delivery must not create conflicting assessments.</w:t>
            </w:r>
          </w:p>
        </w:tc>
        <w:tc>
          <w:tcPr>
            <w:tcW w:w="3096" w:type="dxa"/>
            <w:tcMar>
              <w:top w:w="80" w:type="dxa"/>
              <w:left w:w="90" w:type="dxa"/>
              <w:bottom w:w="80" w:type="dxa"/>
              <w:right w:w="90" w:type="dxa"/>
            </w:tcMar>
            <w:vAlign w:val="center"/>
          </w:tcPr>
          <w:p w14:paraId="746C082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Completed-result reuse, unique persistence keys and commit-after-side-effect ordering.</w:t>
            </w:r>
          </w:p>
        </w:tc>
        <w:tc>
          <w:tcPr>
            <w:tcW w:w="2491" w:type="dxa"/>
            <w:tcMar>
              <w:top w:w="80" w:type="dxa"/>
              <w:left w:w="90" w:type="dxa"/>
              <w:bottom w:w="80" w:type="dxa"/>
              <w:right w:w="90" w:type="dxa"/>
            </w:tcMar>
            <w:vAlign w:val="center"/>
          </w:tcPr>
          <w:p w14:paraId="6F8115C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Worker replay and persistence tests.</w:t>
            </w:r>
          </w:p>
        </w:tc>
      </w:tr>
      <w:tr w:rsidR="00FE2287" w:rsidRPr="00E4528F" w14:paraId="6836B931" w14:textId="77777777">
        <w:trPr>
          <w:cantSplit/>
          <w:jc w:val="center"/>
        </w:trPr>
        <w:tc>
          <w:tcPr>
            <w:tcW w:w="605" w:type="dxa"/>
            <w:shd w:val="clear" w:color="auto" w:fill="F3F6F9"/>
            <w:tcMar>
              <w:top w:w="80" w:type="dxa"/>
              <w:left w:w="90" w:type="dxa"/>
              <w:bottom w:w="80" w:type="dxa"/>
              <w:right w:w="90" w:type="dxa"/>
            </w:tcMar>
            <w:vAlign w:val="center"/>
          </w:tcPr>
          <w:p w14:paraId="374FE1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R6</w:t>
            </w:r>
          </w:p>
        </w:tc>
        <w:tc>
          <w:tcPr>
            <w:tcW w:w="2448" w:type="dxa"/>
            <w:shd w:val="clear" w:color="auto" w:fill="F3F6F9"/>
            <w:tcMar>
              <w:top w:w="80" w:type="dxa"/>
              <w:left w:w="90" w:type="dxa"/>
              <w:bottom w:w="80" w:type="dxa"/>
              <w:right w:w="90" w:type="dxa"/>
            </w:tcMar>
            <w:vAlign w:val="center"/>
          </w:tcPr>
          <w:p w14:paraId="0E8AB7A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Immutable public data must be minimised and its disclosure boundary stated.</w:t>
            </w:r>
          </w:p>
        </w:tc>
        <w:tc>
          <w:tcPr>
            <w:tcW w:w="3096" w:type="dxa"/>
            <w:shd w:val="clear" w:color="auto" w:fill="F3F6F9"/>
            <w:tcMar>
              <w:top w:w="80" w:type="dxa"/>
              <w:left w:w="90" w:type="dxa"/>
              <w:bottom w:w="80" w:type="dxa"/>
              <w:right w:w="90" w:type="dxa"/>
            </w:tcMar>
            <w:vAlign w:val="center"/>
          </w:tcPr>
          <w:p w14:paraId="7AB363F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No free text, raw policy identifier or evidence body on-chain; fictional claim JSON remains public on IPFS.</w:t>
            </w:r>
          </w:p>
        </w:tc>
        <w:tc>
          <w:tcPr>
            <w:tcW w:w="2491" w:type="dxa"/>
            <w:shd w:val="clear" w:color="auto" w:fill="F3F6F9"/>
            <w:tcMar>
              <w:top w:w="80" w:type="dxa"/>
              <w:left w:w="90" w:type="dxa"/>
              <w:bottom w:w="80" w:type="dxa"/>
              <w:right w:w="90" w:type="dxa"/>
            </w:tcMar>
            <w:vAlign w:val="center"/>
          </w:tcPr>
          <w:p w14:paraId="4F0E073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Schema, contract and storage-path inspection.</w:t>
            </w:r>
          </w:p>
        </w:tc>
      </w:tr>
      <w:tr w:rsidR="00FE2287" w:rsidRPr="00E4528F" w14:paraId="63A90322" w14:textId="77777777">
        <w:trPr>
          <w:cantSplit/>
          <w:jc w:val="center"/>
        </w:trPr>
        <w:tc>
          <w:tcPr>
            <w:tcW w:w="605" w:type="dxa"/>
            <w:tcMar>
              <w:top w:w="80" w:type="dxa"/>
              <w:left w:w="90" w:type="dxa"/>
              <w:bottom w:w="80" w:type="dxa"/>
              <w:right w:w="90" w:type="dxa"/>
            </w:tcMar>
            <w:vAlign w:val="center"/>
          </w:tcPr>
          <w:p w14:paraId="166B773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R7</w:t>
            </w:r>
          </w:p>
        </w:tc>
        <w:tc>
          <w:tcPr>
            <w:tcW w:w="2448" w:type="dxa"/>
            <w:tcMar>
              <w:top w:w="80" w:type="dxa"/>
              <w:left w:w="90" w:type="dxa"/>
              <w:bottom w:w="80" w:type="dxa"/>
              <w:right w:w="90" w:type="dxa"/>
            </w:tcMar>
            <w:vAlign w:val="center"/>
          </w:tcPr>
          <w:p w14:paraId="33C8B6A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Duplicate screening must not publish raw cross-insurer identifiers.</w:t>
            </w:r>
          </w:p>
        </w:tc>
        <w:tc>
          <w:tcPr>
            <w:tcW w:w="3096" w:type="dxa"/>
            <w:tcMar>
              <w:top w:w="80" w:type="dxa"/>
              <w:left w:w="90" w:type="dxa"/>
              <w:bottom w:w="80" w:type="dxa"/>
              <w:right w:w="90" w:type="dxa"/>
            </w:tcMar>
            <w:vAlign w:val="center"/>
          </w:tcPr>
          <w:p w14:paraId="3614A17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Canonical keyed HMAC fingerprint within the private service boundary.</w:t>
            </w:r>
          </w:p>
        </w:tc>
        <w:tc>
          <w:tcPr>
            <w:tcW w:w="2491" w:type="dxa"/>
            <w:tcMar>
              <w:top w:w="80" w:type="dxa"/>
              <w:left w:w="90" w:type="dxa"/>
              <w:bottom w:w="80" w:type="dxa"/>
              <w:right w:w="90" w:type="dxa"/>
            </w:tcMar>
            <w:vAlign w:val="center"/>
          </w:tcPr>
          <w:p w14:paraId="5083999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Feature and duplicate-screening tests.</w:t>
            </w:r>
          </w:p>
        </w:tc>
      </w:tr>
      <w:tr w:rsidR="00FE2287" w:rsidRPr="00E4528F" w14:paraId="424C57D2" w14:textId="77777777">
        <w:trPr>
          <w:cantSplit/>
          <w:jc w:val="center"/>
        </w:trPr>
        <w:tc>
          <w:tcPr>
            <w:tcW w:w="605" w:type="dxa"/>
            <w:shd w:val="clear" w:color="auto" w:fill="F3F6F9"/>
            <w:tcMar>
              <w:top w:w="80" w:type="dxa"/>
              <w:left w:w="90" w:type="dxa"/>
              <w:bottom w:w="80" w:type="dxa"/>
              <w:right w:w="90" w:type="dxa"/>
            </w:tcMar>
            <w:vAlign w:val="center"/>
          </w:tcPr>
          <w:p w14:paraId="65EA2D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R8</w:t>
            </w:r>
          </w:p>
        </w:tc>
        <w:tc>
          <w:tcPr>
            <w:tcW w:w="2448" w:type="dxa"/>
            <w:shd w:val="clear" w:color="auto" w:fill="F3F6F9"/>
            <w:tcMar>
              <w:top w:w="80" w:type="dxa"/>
              <w:left w:w="90" w:type="dxa"/>
              <w:bottom w:w="80" w:type="dxa"/>
              <w:right w:w="90" w:type="dxa"/>
            </w:tcMar>
            <w:vAlign w:val="center"/>
          </w:tcPr>
          <w:p w14:paraId="63D330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Model results must be reproducible and reviewable.</w:t>
            </w:r>
          </w:p>
        </w:tc>
        <w:tc>
          <w:tcPr>
            <w:tcW w:w="3096" w:type="dxa"/>
            <w:shd w:val="clear" w:color="auto" w:fill="F3F6F9"/>
            <w:tcMar>
              <w:top w:w="80" w:type="dxa"/>
              <w:left w:w="90" w:type="dxa"/>
              <w:bottom w:w="80" w:type="dxa"/>
              <w:right w:w="90" w:type="dxa"/>
            </w:tcMar>
            <w:vAlign w:val="center"/>
          </w:tcPr>
          <w:p w14:paraId="37F47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Versioned dataset hash, split counts, threshold, metrics and SHAP artifact.</w:t>
            </w:r>
          </w:p>
        </w:tc>
        <w:tc>
          <w:tcPr>
            <w:tcW w:w="2491" w:type="dxa"/>
            <w:shd w:val="clear" w:color="auto" w:fill="F3F6F9"/>
            <w:tcMar>
              <w:top w:w="80" w:type="dxa"/>
              <w:left w:w="90" w:type="dxa"/>
              <w:bottom w:w="80" w:type="dxa"/>
              <w:right w:w="90" w:type="dxa"/>
            </w:tcMar>
            <w:vAlign w:val="center"/>
          </w:tcPr>
          <w:p w14:paraId="396712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Model metadata and held-out results.</w:t>
            </w:r>
          </w:p>
        </w:tc>
      </w:tr>
      <w:tr w:rsidR="00FE2287" w:rsidRPr="00E4528F" w14:paraId="55D44DCC" w14:textId="77777777">
        <w:trPr>
          <w:cantSplit/>
          <w:jc w:val="center"/>
        </w:trPr>
        <w:tc>
          <w:tcPr>
            <w:tcW w:w="605" w:type="dxa"/>
            <w:tcMar>
              <w:top w:w="80" w:type="dxa"/>
              <w:left w:w="90" w:type="dxa"/>
              <w:bottom w:w="80" w:type="dxa"/>
              <w:right w:w="90" w:type="dxa"/>
            </w:tcMar>
            <w:vAlign w:val="center"/>
          </w:tcPr>
          <w:p w14:paraId="05D1E6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R9</w:t>
            </w:r>
          </w:p>
        </w:tc>
        <w:tc>
          <w:tcPr>
            <w:tcW w:w="2448" w:type="dxa"/>
            <w:tcMar>
              <w:top w:w="80" w:type="dxa"/>
              <w:left w:w="90" w:type="dxa"/>
              <w:bottom w:w="80" w:type="dxa"/>
              <w:right w:w="90" w:type="dxa"/>
            </w:tcMar>
            <w:vAlign w:val="center"/>
          </w:tcPr>
          <w:p w14:paraId="6083082B"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 score and investigative outcome must support review rather than automated accusation or adjudication.</w:t>
            </w:r>
          </w:p>
        </w:tc>
        <w:tc>
          <w:tcPr>
            <w:tcW w:w="3096" w:type="dxa"/>
            <w:tcMar>
              <w:top w:w="80" w:type="dxa"/>
              <w:left w:w="90" w:type="dxa"/>
              <w:bottom w:w="80" w:type="dxa"/>
              <w:right w:w="90" w:type="dxa"/>
            </w:tcMar>
            <w:vAlign w:val="center"/>
          </w:tcPr>
          <w:p w14:paraId="1DDD4884" w14:textId="2C0FD1F8" w:rsidR="00FE2287" w:rsidRPr="00E4528F" w:rsidRDefault="00000000">
            <w:pPr>
              <w:spacing w:after="0" w:line="240" w:lineRule="auto"/>
              <w:rPr>
                <w:rFonts w:cs="Times New Roman"/>
                <w:color w:val="000000" w:themeColor="text1"/>
              </w:rPr>
            </w:pPr>
            <w:r>
              <w:rPr>
                <w:rFonts w:cs="Times New Roman"/>
                <w:color w:val="000000" w:themeColor="text1"/>
                <w:sz w:val="15"/>
              </w:rPr>
              <w:t>Advisory model status plus append-only human outcomes; no automatic claim decision, chain transition or retraining.</w:t>
            </w:r>
          </w:p>
        </w:tc>
        <w:tc>
          <w:tcPr>
            <w:tcW w:w="2491" w:type="dxa"/>
            <w:tcMar>
              <w:top w:w="80" w:type="dxa"/>
              <w:left w:w="90" w:type="dxa"/>
              <w:bottom w:w="80" w:type="dxa"/>
              <w:right w:w="90" w:type="dxa"/>
            </w:tcMar>
            <w:vAlign w:val="center"/>
          </w:tcPr>
          <w:p w14:paraId="4D33C333"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API, repository and interface tests, including correction revisions and prohibited effects.</w:t>
            </w:r>
          </w:p>
        </w:tc>
      </w:tr>
    </w:tbl>
    <w:p w14:paraId="4CB975E2" w14:textId="77777777" w:rsidR="00FE2287" w:rsidRPr="00E4528F" w:rsidRDefault="00FE2287">
      <w:pPr>
        <w:spacing w:after="0"/>
        <w:rPr>
          <w:rFonts w:cs="Times New Roman"/>
          <w:color w:val="000000" w:themeColor="text1"/>
        </w:rPr>
      </w:pPr>
    </w:p>
    <w:p w14:paraId="01EC32BA" w14:textId="405ACE6D" w:rsidR="00FE2287" w:rsidRDefault="00000000">
      <w:pPr>
        <w:rPr>
          <w:rFonts w:cs="Times New Roman"/>
          <w:color w:val="000000" w:themeColor="text1"/>
        </w:rPr>
      </w:pPr>
      <w:r w:rsidRPr="00E4528F">
        <w:rPr>
          <w:rFonts w:cs="Times New Roman"/>
          <w:color w:val="000000" w:themeColor="text1"/>
        </w:rPr>
        <w:t>The threat model assumes that internet clients may be malicious, Kafka and RPC messages may be duplicated or delayed, services may crash between steps and public-chain data can be observed. It does not assume that most Sepolia validators are compromised, that a cloud administrator has unrestricted host access or that the cryptography is broken. These limits are stated because smart-contract weaknesses can appear in architecture, code, cryptography, business rules and operations. Current smart-contract and secure-development guidance treats these areas as connected controls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O</w:t>
      </w:r>
      <w:r w:rsidRPr="00E4528F">
        <w:rPr>
          <w:rFonts w:cs="Times New Roman"/>
          <w:color w:val="000000" w:themeColor="text1"/>
        </w:rPr>
        <w:t xml:space="preserve">ne </w:t>
      </w:r>
      <w:r w:rsidR="00813CEA" w:rsidRPr="00E4528F">
        <w:rPr>
          <w:rFonts w:cs="Times New Roman"/>
          <w:color w:val="000000" w:themeColor="text1"/>
        </w:rPr>
        <w:t>analyzer</w:t>
      </w:r>
      <w:r w:rsidRPr="00E4528F">
        <w:rPr>
          <w:rFonts w:cs="Times New Roman"/>
          <w:color w:val="000000" w:themeColor="text1"/>
        </w:rPr>
        <w:t xml:space="preserve"> or test suite is not enough </w:t>
      </w:r>
      <w:sdt>
        <w:sdtPr>
          <w:rPr>
            <w:rFonts w:cs="Times New Roman"/>
            <w:color w:val="000000" w:themeColor="text1"/>
          </w:rPr>
          <w:id w:val="12000003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Sou22</w:instrText>
          </w:r>
          <w:r w:rsidRPr="00E4528F">
            <w:rPr>
              <w:rFonts w:cs="Times New Roman"/>
              <w:color w:val="000000" w:themeColor="text1"/>
            </w:rPr>
            <w:fldChar w:fldCharType="separate"/>
          </w:r>
          <w:r w:rsidRPr="00E4528F">
            <w:rPr>
              <w:rFonts w:cs="Times New Roman"/>
              <w:noProof/>
              <w:color w:val="000000" w:themeColor="text1"/>
            </w:rPr>
            <w:t>(Enterprise Ethereum Alliance, 2025; Souppaya, Scarfone and Dodson, 2022)</w:t>
          </w:r>
          <w:r w:rsidRPr="00E4528F">
            <w:rPr>
              <w:rFonts w:cs="Times New Roman"/>
              <w:color w:val="000000" w:themeColor="text1"/>
            </w:rPr>
            <w:fldChar w:fldCharType="end"/>
          </w:r>
        </w:sdtContent>
      </w:sdt>
      <w:r w:rsidRPr="00E4528F">
        <w:rPr>
          <w:rFonts w:cs="Times New Roman"/>
          <w:color w:val="000000" w:themeColor="text1"/>
        </w:rPr>
        <w:t>.</w:t>
      </w:r>
    </w:p>
    <w:p w14:paraId="0DE821CB" w14:textId="77777777" w:rsidR="00813CEA" w:rsidRDefault="00813CEA">
      <w:pPr>
        <w:rPr>
          <w:rFonts w:cs="Times New Roman"/>
          <w:color w:val="000000" w:themeColor="text1"/>
        </w:rPr>
      </w:pPr>
    </w:p>
    <w:p w14:paraId="4B3205CB" w14:textId="77777777" w:rsidR="00813CEA" w:rsidRDefault="00813CEA">
      <w:pPr>
        <w:rPr>
          <w:rFonts w:cs="Times New Roman"/>
          <w:color w:val="000000" w:themeColor="text1"/>
        </w:rPr>
      </w:pPr>
    </w:p>
    <w:p w14:paraId="055DED03" w14:textId="77777777" w:rsidR="00813CEA" w:rsidRDefault="00813CEA">
      <w:pPr>
        <w:rPr>
          <w:rFonts w:cs="Times New Roman"/>
          <w:color w:val="000000" w:themeColor="text1"/>
        </w:rPr>
      </w:pPr>
    </w:p>
    <w:p w14:paraId="47AB102C" w14:textId="77777777" w:rsidR="00813CEA" w:rsidRDefault="00813CEA">
      <w:pPr>
        <w:rPr>
          <w:rFonts w:cs="Times New Roman"/>
          <w:color w:val="000000" w:themeColor="text1"/>
        </w:rPr>
      </w:pPr>
    </w:p>
    <w:p w14:paraId="1418E99E" w14:textId="77777777" w:rsidR="00813CEA" w:rsidRPr="00E4528F" w:rsidRDefault="00813CEA">
      <w:pPr>
        <w:rPr>
          <w:rFonts w:cs="Times New Roman"/>
          <w:color w:val="000000" w:themeColor="text1"/>
        </w:rPr>
      </w:pPr>
    </w:p>
    <w:p w14:paraId="5D62B1F5" w14:textId="77777777" w:rsidR="00FE2287" w:rsidRPr="00E4528F" w:rsidRDefault="00000000" w:rsidP="00C76C0C">
      <w:pPr>
        <w:pStyle w:val="Caption"/>
        <w:rPr>
          <w:rFonts w:cs="Times New Roman"/>
          <w:color w:val="000000" w:themeColor="text1"/>
        </w:rPr>
      </w:pPr>
      <w:bookmarkStart w:id="25" w:name="bm_tab_threat"/>
      <w:r w:rsidRPr="00E4528F">
        <w:rPr>
          <w:rFonts w:cs="Times New Roman"/>
          <w:color w:val="000000" w:themeColor="text1"/>
        </w:rPr>
        <w:lastRenderedPageBreak/>
        <w:t>Table 3.2. Threats, controls and residual risks</w:t>
      </w:r>
      <w:bookmarkEnd w:id="2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3744"/>
        <w:gridCol w:w="2952"/>
      </w:tblGrid>
      <w:tr w:rsidR="00FE2287" w:rsidRPr="00E4528F" w14:paraId="48F4F351" w14:textId="77777777">
        <w:trPr>
          <w:cantSplit/>
          <w:tblHeader/>
          <w:jc w:val="center"/>
        </w:trPr>
        <w:tc>
          <w:tcPr>
            <w:tcW w:w="1944" w:type="dxa"/>
            <w:shd w:val="clear" w:color="auto" w:fill="17365D"/>
            <w:tcMar>
              <w:top w:w="80" w:type="dxa"/>
              <w:left w:w="90" w:type="dxa"/>
              <w:bottom w:w="80" w:type="dxa"/>
              <w:right w:w="90" w:type="dxa"/>
            </w:tcMar>
            <w:vAlign w:val="center"/>
          </w:tcPr>
          <w:p w14:paraId="2E51DA2D"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Threat</w:t>
            </w:r>
          </w:p>
        </w:tc>
        <w:tc>
          <w:tcPr>
            <w:tcW w:w="3744" w:type="dxa"/>
            <w:shd w:val="clear" w:color="auto" w:fill="17365D"/>
            <w:tcMar>
              <w:top w:w="80" w:type="dxa"/>
              <w:left w:w="90" w:type="dxa"/>
              <w:bottom w:w="80" w:type="dxa"/>
              <w:right w:w="90" w:type="dxa"/>
            </w:tcMar>
            <w:vAlign w:val="center"/>
          </w:tcPr>
          <w:p w14:paraId="152BB67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Implemented control</w:t>
            </w:r>
          </w:p>
        </w:tc>
        <w:tc>
          <w:tcPr>
            <w:tcW w:w="2952" w:type="dxa"/>
            <w:shd w:val="clear" w:color="auto" w:fill="17365D"/>
            <w:tcMar>
              <w:top w:w="80" w:type="dxa"/>
              <w:left w:w="90" w:type="dxa"/>
              <w:bottom w:w="80" w:type="dxa"/>
              <w:right w:w="90" w:type="dxa"/>
            </w:tcMar>
            <w:vAlign w:val="center"/>
          </w:tcPr>
          <w:p w14:paraId="4904671F"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Residual risk / production requirement</w:t>
            </w:r>
          </w:p>
        </w:tc>
      </w:tr>
      <w:tr w:rsidR="00FE2287" w:rsidRPr="00E4528F" w14:paraId="29FF5E50" w14:textId="77777777">
        <w:trPr>
          <w:cantSplit/>
          <w:jc w:val="center"/>
        </w:trPr>
        <w:tc>
          <w:tcPr>
            <w:tcW w:w="1944" w:type="dxa"/>
            <w:tcMar>
              <w:top w:w="80" w:type="dxa"/>
              <w:left w:w="90" w:type="dxa"/>
              <w:bottom w:w="80" w:type="dxa"/>
              <w:right w:w="90" w:type="dxa"/>
            </w:tcMar>
            <w:vAlign w:val="center"/>
          </w:tcPr>
          <w:p w14:paraId="7827493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Unauthorised or ineligible public submission</w:t>
            </w:r>
          </w:p>
        </w:tc>
        <w:tc>
          <w:tcPr>
            <w:tcW w:w="3744" w:type="dxa"/>
            <w:tcMar>
              <w:top w:w="80" w:type="dxa"/>
              <w:left w:w="90" w:type="dxa"/>
              <w:bottom w:w="80" w:type="dxa"/>
              <w:right w:w="90" w:type="dxa"/>
            </w:tcMar>
            <w:vAlign w:val="center"/>
          </w:tcPr>
          <w:p w14:paraId="16306DD8"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Readable wallet challenge, short-lived session, policy eligibility, single-use insurer permit, exact forwarder signature, nonces and expiries.</w:t>
            </w:r>
          </w:p>
        </w:tc>
        <w:tc>
          <w:tcPr>
            <w:tcW w:w="2952" w:type="dxa"/>
            <w:tcMar>
              <w:top w:w="80" w:type="dxa"/>
              <w:left w:w="90" w:type="dxa"/>
              <w:bottom w:w="80" w:type="dxa"/>
              <w:right w:w="90" w:type="dxa"/>
            </w:tcMar>
            <w:vAlign w:val="center"/>
          </w:tcPr>
          <w:p w14:paraId="5AF2A70C"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Identity, policy-adapter or signing-key compromise remains possible; production needs authoritative sources, managed keys, quotas and recovery.</w:t>
            </w:r>
          </w:p>
        </w:tc>
      </w:tr>
      <w:tr w:rsidR="00FE2287" w:rsidRPr="00E4528F" w14:paraId="334457E9" w14:textId="77777777">
        <w:trPr>
          <w:cantSplit/>
          <w:jc w:val="center"/>
        </w:trPr>
        <w:tc>
          <w:tcPr>
            <w:tcW w:w="1944" w:type="dxa"/>
            <w:shd w:val="clear" w:color="auto" w:fill="F3F6F9"/>
            <w:tcMar>
              <w:top w:w="80" w:type="dxa"/>
              <w:left w:w="90" w:type="dxa"/>
              <w:bottom w:w="80" w:type="dxa"/>
              <w:right w:w="90" w:type="dxa"/>
            </w:tcMar>
            <w:vAlign w:val="center"/>
          </w:tcPr>
          <w:p w14:paraId="44D1EC9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Unauthorised scoring or human outcome</w:t>
            </w:r>
          </w:p>
        </w:tc>
        <w:tc>
          <w:tcPr>
            <w:tcW w:w="3744" w:type="dxa"/>
            <w:shd w:val="clear" w:color="auto" w:fill="F3F6F9"/>
            <w:tcMar>
              <w:top w:w="80" w:type="dxa"/>
              <w:left w:w="90" w:type="dxa"/>
              <w:bottom w:w="80" w:type="dxa"/>
              <w:right w:w="90" w:type="dxa"/>
            </w:tcMar>
            <w:vAlign w:val="center"/>
          </w:tcPr>
          <w:p w14:paraId="446D57C8" w14:textId="2228104E" w:rsidR="00FE2287" w:rsidRPr="00E4528F" w:rsidRDefault="00000000">
            <w:pPr>
              <w:spacing w:after="0" w:line="240" w:lineRule="auto"/>
              <w:rPr>
                <w:rFonts w:cs="Times New Roman"/>
                <w:color w:val="000000" w:themeColor="text1"/>
              </w:rPr>
            </w:pPr>
            <w:r>
              <w:rPr>
                <w:rFonts w:cs="Times New Roman"/>
                <w:color w:val="000000" w:themeColor="text1"/>
                <w:sz w:val="16"/>
              </w:rPr>
              <w:t>Insurer-scoped on-chain scoring role; separate digest-key assessor API and append-only outcome revisions.</w:t>
            </w:r>
          </w:p>
        </w:tc>
        <w:tc>
          <w:tcPr>
            <w:tcW w:w="2952" w:type="dxa"/>
            <w:shd w:val="clear" w:color="auto" w:fill="F3F6F9"/>
            <w:tcMar>
              <w:top w:w="80" w:type="dxa"/>
              <w:left w:w="90" w:type="dxa"/>
              <w:bottom w:w="80" w:type="dxa"/>
              <w:right w:w="90" w:type="dxa"/>
            </w:tcMar>
            <w:vAlign w:val="center"/>
          </w:tcPr>
          <w:p w14:paraId="31CD7D15" w14:textId="04214E23" w:rsidR="00FE2287" w:rsidRPr="00E4528F" w:rsidRDefault="00000000">
            <w:pPr>
              <w:spacing w:after="0" w:line="240" w:lineRule="auto"/>
              <w:rPr>
                <w:rFonts w:cs="Times New Roman"/>
                <w:color w:val="000000" w:themeColor="text1"/>
              </w:rPr>
            </w:pPr>
            <w:r>
              <w:rPr>
                <w:rFonts w:cs="Times New Roman"/>
                <w:color w:val="000000" w:themeColor="text1"/>
                <w:sz w:val="16"/>
              </w:rPr>
              <w:t>Administrative roles and API credentials remain sensitive; production needs enterprise identity, dual control, monitoring and revocation.</w:t>
            </w:r>
          </w:p>
        </w:tc>
      </w:tr>
      <w:tr w:rsidR="00FE2287" w:rsidRPr="00E4528F" w14:paraId="535BF41E" w14:textId="77777777">
        <w:trPr>
          <w:cantSplit/>
          <w:jc w:val="center"/>
        </w:trPr>
        <w:tc>
          <w:tcPr>
            <w:tcW w:w="1944" w:type="dxa"/>
            <w:tcMar>
              <w:top w:w="80" w:type="dxa"/>
              <w:left w:w="90" w:type="dxa"/>
              <w:bottom w:w="80" w:type="dxa"/>
              <w:right w:w="90" w:type="dxa"/>
            </w:tcMar>
            <w:vAlign w:val="center"/>
          </w:tcPr>
          <w:p w14:paraId="5FED51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Content substitution</w:t>
            </w:r>
          </w:p>
        </w:tc>
        <w:tc>
          <w:tcPr>
            <w:tcW w:w="3744" w:type="dxa"/>
            <w:tcMar>
              <w:top w:w="80" w:type="dxa"/>
              <w:left w:w="90" w:type="dxa"/>
              <w:bottom w:w="80" w:type="dxa"/>
              <w:right w:w="90" w:type="dxa"/>
            </w:tcMar>
            <w:vAlign w:val="center"/>
          </w:tcPr>
          <w:p w14:paraId="2E69C1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CID and explicit content hash checked before feature processing.</w:t>
            </w:r>
          </w:p>
        </w:tc>
        <w:tc>
          <w:tcPr>
            <w:tcW w:w="2952" w:type="dxa"/>
            <w:tcMar>
              <w:top w:w="80" w:type="dxa"/>
              <w:left w:w="90" w:type="dxa"/>
              <w:bottom w:w="80" w:type="dxa"/>
              <w:right w:w="90" w:type="dxa"/>
            </w:tcMar>
            <w:vAlign w:val="center"/>
          </w:tcPr>
          <w:p w14:paraId="2A27C92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 legitimately submitted false document remains an oracle problem.</w:t>
            </w:r>
          </w:p>
        </w:tc>
      </w:tr>
      <w:tr w:rsidR="00FE2287" w:rsidRPr="00E4528F" w14:paraId="35BB5693" w14:textId="77777777">
        <w:trPr>
          <w:cantSplit/>
          <w:jc w:val="center"/>
        </w:trPr>
        <w:tc>
          <w:tcPr>
            <w:tcW w:w="1944" w:type="dxa"/>
            <w:shd w:val="clear" w:color="auto" w:fill="F3F6F9"/>
            <w:tcMar>
              <w:top w:w="80" w:type="dxa"/>
              <w:left w:w="90" w:type="dxa"/>
              <w:bottom w:w="80" w:type="dxa"/>
              <w:right w:w="90" w:type="dxa"/>
            </w:tcMar>
            <w:vAlign w:val="center"/>
          </w:tcPr>
          <w:p w14:paraId="09B109C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Event loss on crash</w:t>
            </w:r>
          </w:p>
        </w:tc>
        <w:tc>
          <w:tcPr>
            <w:tcW w:w="3744" w:type="dxa"/>
            <w:shd w:val="clear" w:color="auto" w:fill="F3F6F9"/>
            <w:tcMar>
              <w:top w:w="80" w:type="dxa"/>
              <w:left w:w="90" w:type="dxa"/>
              <w:bottom w:w="80" w:type="dxa"/>
              <w:right w:w="90" w:type="dxa"/>
            </w:tcMar>
            <w:vAlign w:val="center"/>
          </w:tcPr>
          <w:p w14:paraId="67D0D9D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Durable outbox and listener checkpoint after persistence and Kafka acknowledgement.</w:t>
            </w:r>
          </w:p>
        </w:tc>
        <w:tc>
          <w:tcPr>
            <w:tcW w:w="2952" w:type="dxa"/>
            <w:shd w:val="clear" w:color="auto" w:fill="F3F6F9"/>
            <w:tcMar>
              <w:top w:w="80" w:type="dxa"/>
              <w:left w:w="90" w:type="dxa"/>
              <w:bottom w:w="80" w:type="dxa"/>
              <w:right w:w="90" w:type="dxa"/>
            </w:tcMar>
            <w:vAlign w:val="center"/>
          </w:tcPr>
          <w:p w14:paraId="52417F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Broker/database outage delays progress and requires monitoring.</w:t>
            </w:r>
          </w:p>
        </w:tc>
      </w:tr>
      <w:tr w:rsidR="00FE2287" w:rsidRPr="00E4528F" w14:paraId="6B9AC487" w14:textId="77777777">
        <w:trPr>
          <w:cantSplit/>
          <w:jc w:val="center"/>
        </w:trPr>
        <w:tc>
          <w:tcPr>
            <w:tcW w:w="1944" w:type="dxa"/>
            <w:tcMar>
              <w:top w:w="80" w:type="dxa"/>
              <w:left w:w="90" w:type="dxa"/>
              <w:bottom w:w="80" w:type="dxa"/>
              <w:right w:w="90" w:type="dxa"/>
            </w:tcMar>
            <w:vAlign w:val="center"/>
          </w:tcPr>
          <w:p w14:paraId="6EF5123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Duplicate processing</w:t>
            </w:r>
          </w:p>
        </w:tc>
        <w:tc>
          <w:tcPr>
            <w:tcW w:w="3744" w:type="dxa"/>
            <w:tcMar>
              <w:top w:w="80" w:type="dxa"/>
              <w:left w:w="90" w:type="dxa"/>
              <w:bottom w:w="80" w:type="dxa"/>
              <w:right w:w="90" w:type="dxa"/>
            </w:tcMar>
            <w:vAlign w:val="center"/>
          </w:tcPr>
          <w:p w14:paraId="4AC835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Deterministic identity, unique state and idempotent completed-assessment reuse.</w:t>
            </w:r>
          </w:p>
        </w:tc>
        <w:tc>
          <w:tcPr>
            <w:tcW w:w="2952" w:type="dxa"/>
            <w:tcMar>
              <w:top w:w="80" w:type="dxa"/>
              <w:left w:w="90" w:type="dxa"/>
              <w:bottom w:w="80" w:type="dxa"/>
              <w:right w:w="90" w:type="dxa"/>
            </w:tcMar>
            <w:vAlign w:val="center"/>
          </w:tcPr>
          <w:p w14:paraId="7DC0E19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Non-idempotent external side effects would need their own deduplication keys.</w:t>
            </w:r>
          </w:p>
        </w:tc>
      </w:tr>
      <w:tr w:rsidR="00FE2287" w:rsidRPr="00E4528F" w14:paraId="0F4EC0C4" w14:textId="77777777">
        <w:trPr>
          <w:cantSplit/>
          <w:jc w:val="center"/>
        </w:trPr>
        <w:tc>
          <w:tcPr>
            <w:tcW w:w="1944" w:type="dxa"/>
            <w:shd w:val="clear" w:color="auto" w:fill="F3F6F9"/>
            <w:tcMar>
              <w:top w:w="80" w:type="dxa"/>
              <w:left w:w="90" w:type="dxa"/>
              <w:bottom w:w="80" w:type="dxa"/>
              <w:right w:w="90" w:type="dxa"/>
            </w:tcMar>
            <w:vAlign w:val="center"/>
          </w:tcPr>
          <w:p w14:paraId="2B72601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Public disclosure</w:t>
            </w:r>
          </w:p>
        </w:tc>
        <w:tc>
          <w:tcPr>
            <w:tcW w:w="3744" w:type="dxa"/>
            <w:shd w:val="clear" w:color="auto" w:fill="F3F6F9"/>
            <w:tcMar>
              <w:top w:w="80" w:type="dxa"/>
              <w:left w:w="90" w:type="dxa"/>
              <w:bottom w:w="80" w:type="dxa"/>
              <w:right w:w="90" w:type="dxa"/>
            </w:tcMar>
            <w:vAlign w:val="center"/>
          </w:tcPr>
          <w:p w14:paraId="5DDDEFC1" w14:textId="4D8B394E" w:rsidR="00FE2287" w:rsidRPr="00E4528F" w:rsidRDefault="00000000">
            <w:pPr>
              <w:spacing w:after="0" w:line="240" w:lineRule="auto"/>
              <w:rPr>
                <w:rFonts w:cs="Times New Roman"/>
                <w:color w:val="000000" w:themeColor="text1"/>
              </w:rPr>
            </w:pPr>
            <w:r>
              <w:rPr>
                <w:rFonts w:cs="Times New Roman"/>
                <w:color w:val="000000" w:themeColor="text1"/>
                <w:sz w:val="16"/>
              </w:rPr>
              <w:t>Minimal contract fields and fictional data only; raw policy references use separate keyed commitments.</w:t>
            </w:r>
          </w:p>
        </w:tc>
        <w:tc>
          <w:tcPr>
            <w:tcW w:w="2952" w:type="dxa"/>
            <w:shd w:val="clear" w:color="auto" w:fill="F3F6F9"/>
            <w:tcMar>
              <w:top w:w="80" w:type="dxa"/>
              <w:left w:w="90" w:type="dxa"/>
              <w:bottom w:w="80" w:type="dxa"/>
              <w:right w:w="90" w:type="dxa"/>
            </w:tcMar>
            <w:vAlign w:val="center"/>
          </w:tcPr>
          <w:p w14:paraId="2643BA4C"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Claim JSON, CID/hash linkability and transaction metadata remain public; real evidence requires encrypted controlled storage.</w:t>
            </w:r>
          </w:p>
        </w:tc>
      </w:tr>
      <w:tr w:rsidR="00FE2287" w:rsidRPr="00E4528F" w14:paraId="31DE0C43" w14:textId="77777777">
        <w:trPr>
          <w:cantSplit/>
          <w:jc w:val="center"/>
        </w:trPr>
        <w:tc>
          <w:tcPr>
            <w:tcW w:w="1944" w:type="dxa"/>
            <w:tcMar>
              <w:top w:w="80" w:type="dxa"/>
              <w:left w:w="90" w:type="dxa"/>
              <w:bottom w:w="80" w:type="dxa"/>
              <w:right w:w="90" w:type="dxa"/>
            </w:tcMar>
            <w:vAlign w:val="center"/>
          </w:tcPr>
          <w:p w14:paraId="5B45D9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Duplicate-fingerprint guessing</w:t>
            </w:r>
          </w:p>
        </w:tc>
        <w:tc>
          <w:tcPr>
            <w:tcW w:w="3744" w:type="dxa"/>
            <w:tcMar>
              <w:top w:w="80" w:type="dxa"/>
              <w:left w:w="90" w:type="dxa"/>
              <w:bottom w:w="80" w:type="dxa"/>
              <w:right w:w="90" w:type="dxa"/>
            </w:tcMar>
            <w:vAlign w:val="center"/>
          </w:tcPr>
          <w:p w14:paraId="21C142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Keyed HMAC rather than a plain hash.</w:t>
            </w:r>
          </w:p>
        </w:tc>
        <w:tc>
          <w:tcPr>
            <w:tcW w:w="2952" w:type="dxa"/>
            <w:tcMar>
              <w:top w:w="80" w:type="dxa"/>
              <w:left w:w="90" w:type="dxa"/>
              <w:bottom w:w="80" w:type="dxa"/>
              <w:right w:w="90" w:type="dxa"/>
            </w:tcMar>
            <w:vAlign w:val="center"/>
          </w:tcPr>
          <w:p w14:paraId="0E24B9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Secret rotation and canonicalisation governance are not fully implemented.</w:t>
            </w:r>
          </w:p>
        </w:tc>
      </w:tr>
      <w:tr w:rsidR="00FE2287" w:rsidRPr="00E4528F" w14:paraId="727F535F" w14:textId="77777777">
        <w:trPr>
          <w:cantSplit/>
          <w:jc w:val="center"/>
        </w:trPr>
        <w:tc>
          <w:tcPr>
            <w:tcW w:w="1944" w:type="dxa"/>
            <w:shd w:val="clear" w:color="auto" w:fill="F3F6F9"/>
            <w:tcMar>
              <w:top w:w="80" w:type="dxa"/>
              <w:left w:w="90" w:type="dxa"/>
              <w:bottom w:w="80" w:type="dxa"/>
              <w:right w:w="90" w:type="dxa"/>
            </w:tcMar>
            <w:vAlign w:val="center"/>
          </w:tcPr>
          <w:p w14:paraId="2E893CC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misuse</w:t>
            </w:r>
          </w:p>
        </w:tc>
        <w:tc>
          <w:tcPr>
            <w:tcW w:w="3744" w:type="dxa"/>
            <w:shd w:val="clear" w:color="auto" w:fill="F3F6F9"/>
            <w:tcMar>
              <w:top w:w="80" w:type="dxa"/>
              <w:left w:w="90" w:type="dxa"/>
              <w:bottom w:w="80" w:type="dxa"/>
              <w:right w:w="90" w:type="dxa"/>
            </w:tcMar>
            <w:vAlign w:val="center"/>
          </w:tcPr>
          <w:p w14:paraId="61EE9C3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Human-review status, versioned threshold and SHAP context; append-only outcomes have no automatic chain or training effect.</w:t>
            </w:r>
          </w:p>
        </w:tc>
        <w:tc>
          <w:tcPr>
            <w:tcW w:w="2952" w:type="dxa"/>
            <w:shd w:val="clear" w:color="auto" w:fill="F3F6F9"/>
            <w:tcMar>
              <w:top w:w="80" w:type="dxa"/>
              <w:left w:w="90" w:type="dxa"/>
              <w:bottom w:w="80" w:type="dxa"/>
              <w:right w:w="90" w:type="dxa"/>
            </w:tcMar>
            <w:vAlign w:val="center"/>
          </w:tcPr>
          <w:p w14:paraId="19EB49EA"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Bias, automation bias and domain shift require monitoring, independent supervision and a contest route.</w:t>
            </w:r>
          </w:p>
        </w:tc>
      </w:tr>
    </w:tbl>
    <w:p w14:paraId="19AE5AA6" w14:textId="77777777" w:rsidR="00FE2287" w:rsidRPr="00E4528F" w:rsidRDefault="00FE2287">
      <w:pPr>
        <w:spacing w:after="0"/>
        <w:rPr>
          <w:rFonts w:cs="Times New Roman"/>
          <w:color w:val="000000" w:themeColor="text1"/>
        </w:rPr>
      </w:pPr>
    </w:p>
    <w:p w14:paraId="50D864CD" w14:textId="77777777" w:rsidR="00FE2287" w:rsidRPr="00E4528F" w:rsidRDefault="00000000">
      <w:pPr>
        <w:pStyle w:val="Heading2"/>
        <w:rPr>
          <w:rFonts w:ascii="Times New Roman" w:hAnsi="Times New Roman" w:cs="Times New Roman"/>
          <w:color w:val="000000" w:themeColor="text1"/>
          <w:sz w:val="32"/>
          <w:szCs w:val="32"/>
        </w:rPr>
      </w:pPr>
      <w:bookmarkStart w:id="26" w:name="bm_s3_3"/>
      <w:r w:rsidRPr="00E4528F">
        <w:rPr>
          <w:rFonts w:ascii="Times New Roman" w:hAnsi="Times New Roman" w:cs="Times New Roman"/>
          <w:color w:val="000000" w:themeColor="text1"/>
          <w:sz w:val="32"/>
          <w:szCs w:val="32"/>
        </w:rPr>
        <w:t>3.3 Implemented architecture</w:t>
      </w:r>
      <w:bookmarkEnd w:id="26"/>
    </w:p>
    <w:p w14:paraId="189FE5CA" w14:textId="727798C5" w:rsidR="00FE2287" w:rsidRPr="00E4528F" w:rsidRDefault="00000000">
      <w:pPr>
        <w:rPr>
          <w:rFonts w:cs="Times New Roman"/>
          <w:color w:val="000000" w:themeColor="text1"/>
        </w:rPr>
      </w:pPr>
      <w:r>
        <w:rPr>
          <w:rFonts w:cs="Times New Roman"/>
          <w:color w:val="000000" w:themeColor="text1"/>
        </w:rPr>
        <w:t>Figure 3.1 shows the main-branch version evaluated for this revision. It separates the claimant browser, privately operated insurer services and the public Sepolia network. The private boundary contains wallet-session verification, policy eligibility, permit issuance, operational PostgreSQL state, duplicate screening and the human-outcome store. Public IPFS holds only fictional claim JSON by content address. Sepolia verifies the claimant-signed forwarding request and insurer permit, then records party attribution and lifecycle events. The stack can run on one virtual machine</w:t>
      </w:r>
      <w:r w:rsidR="00813CEA">
        <w:rPr>
          <w:rFonts w:cs="Times New Roman"/>
          <w:color w:val="000000" w:themeColor="text1"/>
        </w:rPr>
        <w:t>.</w:t>
      </w:r>
      <w:r>
        <w:rPr>
          <w:rFonts w:cs="Times New Roman"/>
          <w:color w:val="000000" w:themeColor="text1"/>
        </w:rPr>
        <w:t xml:space="preserve"> </w:t>
      </w:r>
      <w:r w:rsidR="00813CEA">
        <w:rPr>
          <w:rFonts w:cs="Times New Roman"/>
          <w:color w:val="000000" w:themeColor="text1"/>
        </w:rPr>
        <w:t>S</w:t>
      </w:r>
      <w:r>
        <w:rPr>
          <w:rFonts w:cs="Times New Roman"/>
          <w:color w:val="000000" w:themeColor="text1"/>
        </w:rPr>
        <w:t>eparable components are an architectural seam, not evidence of production scale.</w:t>
      </w:r>
    </w:p>
    <w:p w14:paraId="493F3DA4"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0995FDD9" wp14:editId="5A38177E">
            <wp:extent cx="5486400" cy="3757195"/>
            <wp:effectExtent l="0" t="0" r="0" b="0"/>
            <wp:docPr id="1" name="Picture 1" descr="Architecture grouped into browser, private insurer-service and public Sepolia trust boundaries, showing PostgreSQL, IPFS, relayer, listener, Kafka and assessment-worker data flows." title="Figure 3.1. Implemented architecture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2"/>
                    <a:stretch>
                      <a:fillRect/>
                    </a:stretch>
                  </pic:blipFill>
                  <pic:spPr>
                    <a:xfrm>
                      <a:off x="0" y="0"/>
                      <a:ext cx="5486400" cy="3757195"/>
                    </a:xfrm>
                    <a:prstGeom prst="rect">
                      <a:avLst/>
                    </a:prstGeom>
                  </pic:spPr>
                </pic:pic>
              </a:graphicData>
            </a:graphic>
          </wp:inline>
        </w:drawing>
      </w:r>
    </w:p>
    <w:p w14:paraId="1A2C8C74" w14:textId="77777777" w:rsidR="00FE2287" w:rsidRDefault="00000000" w:rsidP="00C76C0C">
      <w:pPr>
        <w:pStyle w:val="Caption"/>
        <w:rPr>
          <w:rFonts w:cs="Times New Roman"/>
          <w:color w:val="000000" w:themeColor="text1"/>
        </w:rPr>
      </w:pPr>
      <w:bookmarkStart w:id="27" w:name="bm_fig_arch"/>
      <w:r w:rsidRPr="00E4528F">
        <w:rPr>
          <w:rFonts w:cs="Times New Roman"/>
          <w:color w:val="000000" w:themeColor="text1"/>
        </w:rPr>
        <w:t>Figure 3.1. Implemented architecture and trust boundaries</w:t>
      </w:r>
      <w:bookmarkEnd w:id="27"/>
    </w:p>
    <w:p w14:paraId="5D1CD8DD" w14:textId="77777777" w:rsidR="00813CEA" w:rsidRPr="00813CEA" w:rsidRDefault="00813CEA" w:rsidP="00813CEA"/>
    <w:p w14:paraId="3A1509BE" w14:textId="77777777" w:rsidR="00FE2287" w:rsidRPr="00E4528F" w:rsidRDefault="00000000">
      <w:pPr>
        <w:rPr>
          <w:rFonts w:cs="Times New Roman"/>
          <w:color w:val="000000" w:themeColor="text1"/>
        </w:rPr>
      </w:pPr>
      <w:r>
        <w:rPr>
          <w:rFonts w:cs="Times New Roman"/>
          <w:color w:val="000000" w:themeColor="text1"/>
        </w:rPr>
        <w:t xml:space="preserve">The process starts with a wallet challenge that is readable before signature. A verified wallet receives a short-lived bearer session. The policy adapter then confirms that the policy exists, covers the incident type, date and amount, and permits the claimant or representative to act. The backend canonicalises the fictional claim, uploads it to IPFS, stores the exact request state and issues a short-lived, single-use EIP-712 ClaimPermit scoped to the insurer, claimant, content commitment and registry. The wallet signs the exact ERC-2771 ForwardRequest. The relayer verifies both authorisations and pays gas, but it holds no registry business role. The forwarder exposes the original signer, while the registry verifies the permit and records claimant, submitter and insurer as distinct parties. The recipient still depends on correct trusted-forwarder configuration. </w:t>
      </w:r>
      <w:sdt>
        <w:sdtPr>
          <w:rPr>
            <w:rFonts w:cs="Times New Roman"/>
            <w:color w:val="000000" w:themeColor="text1"/>
          </w:rPr>
          <w:id w:val="12000003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5423A26D" w14:textId="77777777" w:rsidR="00FE2287" w:rsidRPr="00E4528F" w:rsidRDefault="00000000">
      <w:pPr>
        <w:rPr>
          <w:rFonts w:cs="Times New Roman"/>
          <w:color w:val="000000" w:themeColor="text1"/>
        </w:rPr>
      </w:pPr>
      <w:r w:rsidRPr="00E4528F">
        <w:rPr>
          <w:rFonts w:cs="Times New Roman"/>
          <w:color w:val="000000" w:themeColor="text1"/>
        </w:rPr>
        <w:t xml:space="preserve">After confirmation, the listener scans contract logs from its durable checkpoint, transforms them into a stable event representation and updates the application index. It then publishes work to Kafka. The worker re-verifies the referenced content, constructs an allow-listed feature vector, checks duplicate fingerprints, applies the versioned </w:t>
      </w:r>
      <w:r w:rsidRPr="00E4528F">
        <w:rPr>
          <w:rFonts w:cs="Times New Roman"/>
          <w:color w:val="000000" w:themeColor="text1"/>
        </w:rPr>
        <w:lastRenderedPageBreak/>
        <w:t xml:space="preserve">XGBoost model and generates SHAP context. The ordering follows the project’s durable side-effect rules and the distinction between stream-platform guarantees and end-to-end application completeness </w:t>
      </w:r>
      <w:sdt>
        <w:sdtPr>
          <w:rPr>
            <w:rFonts w:cs="Times New Roman"/>
            <w:color w:val="000000" w:themeColor="text1"/>
          </w:rPr>
          <w:id w:val="12000003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761B18B8" w14:textId="77777777" w:rsidR="00FE2287" w:rsidRPr="00E4528F" w:rsidRDefault="00000000">
      <w:pPr>
        <w:rPr>
          <w:rFonts w:cs="Times New Roman"/>
          <w:color w:val="000000" w:themeColor="text1"/>
        </w:rPr>
      </w:pPr>
      <w:r w:rsidRPr="00E4528F">
        <w:rPr>
          <w:rFonts w:cs="Times New Roman"/>
          <w:color w:val="000000" w:themeColor="text1"/>
        </w:rPr>
        <w:t xml:space="preserve">Each technology has a narrow role. The ledger is the public verification surface. IPFS provides content addressing, PostgreSQL provides transactions and private queries, Kafka buffers asynchronous work, and the model service performs analysis that can change over time. Content addressing makes changed bytes detectable but does not make content confidential or permanently available </w:t>
      </w:r>
      <w:sdt>
        <w:sdtPr>
          <w:rPr>
            <w:rFonts w:cs="Times New Roman"/>
            <w:color w:val="000000" w:themeColor="text1"/>
          </w:rPr>
          <w:id w:val="12000004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w:t>
      </w:r>
    </w:p>
    <w:p w14:paraId="089044FB" w14:textId="77777777" w:rsidR="00FE2287" w:rsidRPr="00E4528F" w:rsidRDefault="00000000">
      <w:pPr>
        <w:pStyle w:val="Heading2"/>
        <w:rPr>
          <w:rFonts w:ascii="Times New Roman" w:hAnsi="Times New Roman" w:cs="Times New Roman"/>
          <w:color w:val="000000" w:themeColor="text1"/>
          <w:sz w:val="32"/>
          <w:szCs w:val="32"/>
        </w:rPr>
      </w:pPr>
      <w:bookmarkStart w:id="28" w:name="bm_s3_4"/>
      <w:r w:rsidRPr="00E4528F">
        <w:rPr>
          <w:rFonts w:ascii="Times New Roman" w:hAnsi="Times New Roman" w:cs="Times New Roman"/>
          <w:color w:val="000000" w:themeColor="text1"/>
          <w:sz w:val="32"/>
          <w:szCs w:val="32"/>
        </w:rPr>
        <w:t>3.4 On-chain registry and gasless authorisation</w:t>
      </w:r>
      <w:bookmarkEnd w:id="28"/>
    </w:p>
    <w:p w14:paraId="21B30782" w14:textId="4446734A" w:rsidR="00FE2287" w:rsidRPr="00E4528F" w:rsidRDefault="00000000">
      <w:pPr>
        <w:rPr>
          <w:rFonts w:cs="Times New Roman"/>
          <w:color w:val="000000" w:themeColor="text1"/>
        </w:rPr>
      </w:pPr>
      <w:r>
        <w:rPr>
          <w:rFonts w:cs="Times New Roman"/>
          <w:color w:val="000000" w:themeColor="text1"/>
        </w:rPr>
        <w:t xml:space="preserve">The registry uses role-based access control for administration, permit issuance, submission and scoring. Public intake does not remove these boundaries. The claimant or authorised representative signs the forwarding request, an insurer-authorised permit issuer approves the precise registration context and the </w:t>
      </w:r>
      <w:proofErr w:type="spellStart"/>
      <w:r>
        <w:rPr>
          <w:rFonts w:cs="Times New Roman"/>
          <w:color w:val="000000" w:themeColor="text1"/>
        </w:rPr>
        <w:t>relayer</w:t>
      </w:r>
      <w:proofErr w:type="spellEnd"/>
      <w:r>
        <w:rPr>
          <w:rFonts w:cs="Times New Roman"/>
          <w:color w:val="000000" w:themeColor="text1"/>
        </w:rPr>
        <w:t xml:space="preserve"> only </w:t>
      </w:r>
      <w:proofErr w:type="gramStart"/>
      <w:r>
        <w:rPr>
          <w:rFonts w:cs="Times New Roman"/>
          <w:color w:val="000000" w:themeColor="text1"/>
        </w:rPr>
        <w:t>sponsors</w:t>
      </w:r>
      <w:proofErr w:type="gramEnd"/>
      <w:r>
        <w:rPr>
          <w:rFonts w:cs="Times New Roman"/>
          <w:color w:val="000000" w:themeColor="text1"/>
        </w:rPr>
        <w:t xml:space="preserve"> gas. ClaimPartiesRecorded preserves claimant, submitter and insurer attribution. The on-chain ASSESSOR_ROLE belongs to the scoring worker and is scoped to an insurer contract</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I</w:t>
      </w:r>
      <w:r>
        <w:rPr>
          <w:rFonts w:cs="Times New Roman"/>
          <w:color w:val="000000" w:themeColor="text1"/>
        </w:rPr>
        <w:t>t is distinct from the off-chain human-assessor console. Lifecycle transitions remain forward-only, and the first completed model assessment is immutable at contract level.</w:t>
      </w:r>
    </w:p>
    <w:p w14:paraId="6C33D426" w14:textId="5DB58CE7" w:rsidR="00FE2287" w:rsidRPr="00E4528F" w:rsidRDefault="00000000">
      <w:pPr>
        <w:rPr>
          <w:rFonts w:cs="Times New Roman"/>
          <w:color w:val="000000" w:themeColor="text1"/>
        </w:rPr>
      </w:pPr>
      <w:r>
        <w:rPr>
          <w:rFonts w:cs="Times New Roman"/>
          <w:color w:val="000000" w:themeColor="text1"/>
        </w:rPr>
        <w:t>Gas sponsorship uses two related EIP-712 authorisations. The insurer-side ClaimPermit binds the claimant, registry, insurer, content commitment, nonce and expiry. The claimant or authorised representative separately signs the exact ERC-2771 request. Changing signed calldata invalidates the request. The forwarder checks the wallet nonce and deadline</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T</w:t>
      </w:r>
      <w:r>
        <w:rPr>
          <w:rFonts w:cs="Times New Roman"/>
          <w:color w:val="000000" w:themeColor="text1"/>
        </w:rPr>
        <w:t xml:space="preserve">he registry checks the permit issuer, scope and one-time use. EIP-712 alone does not prevent </w:t>
      </w:r>
      <w:r w:rsidR="00182B92">
        <w:rPr>
          <w:rFonts w:cs="Times New Roman"/>
          <w:color w:val="000000" w:themeColor="text1"/>
        </w:rPr>
        <w:t>replay,</w:t>
      </w:r>
      <w:r>
        <w:rPr>
          <w:rFonts w:cs="Times New Roman"/>
          <w:color w:val="000000" w:themeColor="text1"/>
        </w:rPr>
        <w:t xml:space="preserve"> so domain separation, independent nonces, expiries and consumed-permit tracking are all required. The </w:t>
      </w:r>
      <w:proofErr w:type="spellStart"/>
      <w:r>
        <w:rPr>
          <w:rFonts w:cs="Times New Roman"/>
          <w:color w:val="000000" w:themeColor="text1"/>
        </w:rPr>
        <w:t>relayer</w:t>
      </w:r>
      <w:proofErr w:type="spellEnd"/>
      <w:r>
        <w:rPr>
          <w:rFonts w:cs="Times New Roman"/>
          <w:color w:val="000000" w:themeColor="text1"/>
        </w:rPr>
        <w:t xml:space="preserve"> pays gas but neither signature delegates authority to rewrite the claim. </w:t>
      </w:r>
      <w:sdt>
        <w:sdtPr>
          <w:rPr>
            <w:rFonts w:cs="Times New Roman"/>
            <w:color w:val="000000" w:themeColor="text1"/>
          </w:rPr>
          <w:id w:val="12000004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1B5EB26A" w14:textId="3C32AEB9" w:rsidR="00FE2287" w:rsidRPr="00E4528F" w:rsidRDefault="00000000">
      <w:pPr>
        <w:rPr>
          <w:rFonts w:cs="Times New Roman"/>
          <w:color w:val="000000" w:themeColor="text1"/>
        </w:rPr>
      </w:pPr>
      <w:r>
        <w:rPr>
          <w:rFonts w:cs="Times New Roman"/>
          <w:color w:val="000000" w:themeColor="text1"/>
        </w:rPr>
        <w:t xml:space="preserve">The current public-intake research deployment is identified as sepolia-public-intake-v1. The registry address is </w:t>
      </w:r>
      <w:r w:rsidRPr="00182B92">
        <w:rPr>
          <w:rFonts w:cs="Times New Roman"/>
          <w:b/>
          <w:bCs/>
          <w:color w:val="000000" w:themeColor="text1"/>
        </w:rPr>
        <w:t>0xb64BaB321e0Fb19b2295f8182D5A37bAf85F7dff</w:t>
      </w:r>
      <w:r>
        <w:rPr>
          <w:rFonts w:cs="Times New Roman"/>
          <w:color w:val="000000" w:themeColor="text1"/>
        </w:rPr>
        <w:t xml:space="preserve">, the forwarder address is </w:t>
      </w:r>
      <w:r w:rsidRPr="00182B92">
        <w:rPr>
          <w:rFonts w:cs="Times New Roman"/>
          <w:b/>
          <w:bCs/>
          <w:color w:val="000000" w:themeColor="text1"/>
        </w:rPr>
        <w:t>0xeff61937C6a11236D87863e763c13cd7083f0BD0</w:t>
      </w:r>
      <w:r>
        <w:rPr>
          <w:rFonts w:cs="Times New Roman"/>
          <w:color w:val="000000" w:themeColor="text1"/>
        </w:rPr>
        <w:t xml:space="preserve">, the registry start block is </w:t>
      </w:r>
      <w:r w:rsidRPr="00182B92">
        <w:rPr>
          <w:rFonts w:cs="Times New Roman"/>
          <w:b/>
          <w:bCs/>
          <w:color w:val="000000" w:themeColor="text1"/>
        </w:rPr>
        <w:t>11,516,697</w:t>
      </w:r>
      <w:r>
        <w:rPr>
          <w:rFonts w:cs="Times New Roman"/>
          <w:color w:val="000000" w:themeColor="text1"/>
        </w:rPr>
        <w:t xml:space="preserve"> and the chain identifier is </w:t>
      </w:r>
      <w:r w:rsidRPr="00182B92">
        <w:rPr>
          <w:rFonts w:cs="Times New Roman"/>
          <w:b/>
          <w:bCs/>
          <w:color w:val="000000" w:themeColor="text1"/>
        </w:rPr>
        <w:t>11155111</w:t>
      </w:r>
      <w:r>
        <w:rPr>
          <w:rFonts w:cs="Times New Roman"/>
          <w:color w:val="000000" w:themeColor="text1"/>
        </w:rPr>
        <w:t xml:space="preserve">. These values identify the </w:t>
      </w:r>
      <w:r>
        <w:rPr>
          <w:rFonts w:cs="Times New Roman"/>
          <w:color w:val="000000" w:themeColor="text1"/>
        </w:rPr>
        <w:lastRenderedPageBreak/>
        <w:t>configured Sepolia deployment, not a service-level commitment. The earlier sepolia-gasless-v1 addresses are retained only for read-only historical reference and cannot issue public-intake permits.</w:t>
      </w:r>
    </w:p>
    <w:p w14:paraId="1AEF42AF" w14:textId="77777777" w:rsidR="00FE2287" w:rsidRPr="00E4528F" w:rsidRDefault="00000000">
      <w:pPr>
        <w:rPr>
          <w:rFonts w:cs="Times New Roman"/>
          <w:color w:val="000000" w:themeColor="text1"/>
        </w:rPr>
      </w:pPr>
      <w:r>
        <w:rPr>
          <w:rFonts w:cs="Times New Roman"/>
          <w:color w:val="000000" w:themeColor="text1"/>
        </w:rPr>
        <w:t>An internal code-oriented security review strengthened role, lifecycle, signature, permit and replay tests, but it is not an independent professional audit. The policy adapter and permit issuer also create private trust dependencies that a contract audit alone cannot resolve. Production use would require authoritative identity and policy integrations, managed signing keys, external smart-contract and service reviews, multi-party administration, monitored quotas and abuse controls, tested migration and recovery, and a documented response to compromised sessions, permits or relayer infrastructure.</w:t>
      </w:r>
    </w:p>
    <w:p w14:paraId="67DDF390" w14:textId="77777777" w:rsidR="00FE2287" w:rsidRPr="00E4528F" w:rsidRDefault="00000000">
      <w:pPr>
        <w:pStyle w:val="Heading2"/>
        <w:rPr>
          <w:rFonts w:ascii="Times New Roman" w:hAnsi="Times New Roman" w:cs="Times New Roman"/>
          <w:color w:val="000000" w:themeColor="text1"/>
          <w:sz w:val="32"/>
          <w:szCs w:val="32"/>
        </w:rPr>
      </w:pPr>
      <w:bookmarkStart w:id="29" w:name="bm_s3_5"/>
      <w:r w:rsidRPr="00E4528F">
        <w:rPr>
          <w:rFonts w:ascii="Times New Roman" w:hAnsi="Times New Roman" w:cs="Times New Roman"/>
          <w:color w:val="000000" w:themeColor="text1"/>
          <w:sz w:val="32"/>
          <w:szCs w:val="32"/>
        </w:rPr>
        <w:t>3.5 Off-chain storage and replay safety</w:t>
      </w:r>
      <w:bookmarkEnd w:id="29"/>
    </w:p>
    <w:p w14:paraId="48D5B9CC" w14:textId="3D8D1041" w:rsidR="00FE2287" w:rsidRDefault="00000000">
      <w:pPr>
        <w:rPr>
          <w:rFonts w:cs="Times New Roman"/>
          <w:color w:val="000000" w:themeColor="text1"/>
        </w:rPr>
      </w:pPr>
      <w:r>
        <w:rPr>
          <w:rFonts w:cs="Times New Roman"/>
          <w:color w:val="000000" w:themeColor="text1"/>
        </w:rPr>
        <w:t>The contract excludes detailed claim fields because privacy controls, schemas and model features change more quickly than a registry commitment. The on-chain record contains party attribution, bounded references, hashes and lifecycle metadata. Raw policy references are replaced by separate keyed commitments for policy lookup and claimant binding. This does not make the current storage private</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T</w:t>
      </w:r>
      <w:r>
        <w:rPr>
          <w:rFonts w:cs="Times New Roman"/>
          <w:color w:val="000000" w:themeColor="text1"/>
        </w:rPr>
        <w:t>he canonical fictional claim JSON is uploaded to public, unencrypted IPFS and is available to anyone who obtains its CID. The research deployment must not receive real claims. When the worker reads IPFS content, it verifies both CID and expected hash before feature extraction</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S</w:t>
      </w:r>
      <w:r>
        <w:rPr>
          <w:rFonts w:cs="Times New Roman"/>
          <w:color w:val="000000" w:themeColor="text1"/>
        </w:rPr>
        <w:t>uccessful retrieval alone is not proof that the bytes match the committed claim.</w:t>
      </w:r>
    </w:p>
    <w:p w14:paraId="329BB034" w14:textId="77777777" w:rsidR="00182B92" w:rsidRPr="00E4528F" w:rsidRDefault="00182B92">
      <w:pPr>
        <w:rPr>
          <w:rFonts w:cs="Times New Roman"/>
          <w:color w:val="000000" w:themeColor="text1"/>
        </w:rPr>
      </w:pPr>
    </w:p>
    <w:p w14:paraId="4A45A2D2"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34EA1650" wp14:editId="7F23FC16">
            <wp:extent cx="5452294" cy="2615565"/>
            <wp:effectExtent l="0" t="0" r="0" b="635"/>
            <wp:docPr id="2" name="Picture 2" descr="Failure-aware sequence showing database outbox commit, blockchain event indexing, Kafka acknowledgement and worker offset commit after durable assessment side effects." title="Figure 3.2. Replay and commi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ay_boundaries.png"/>
                    <pic:cNvPicPr/>
                  </pic:nvPicPr>
                  <pic:blipFill>
                    <a:blip r:embed="rId13"/>
                    <a:stretch>
                      <a:fillRect/>
                    </a:stretch>
                  </pic:blipFill>
                  <pic:spPr>
                    <a:xfrm>
                      <a:off x="0" y="0"/>
                      <a:ext cx="5466360" cy="2622313"/>
                    </a:xfrm>
                    <a:prstGeom prst="rect">
                      <a:avLst/>
                    </a:prstGeom>
                  </pic:spPr>
                </pic:pic>
              </a:graphicData>
            </a:graphic>
          </wp:inline>
        </w:drawing>
      </w:r>
    </w:p>
    <w:p w14:paraId="6C8438B7" w14:textId="77777777" w:rsidR="00FE2287" w:rsidRDefault="00000000" w:rsidP="00C76C0C">
      <w:pPr>
        <w:pStyle w:val="Caption"/>
        <w:rPr>
          <w:rFonts w:cs="Times New Roman"/>
          <w:color w:val="000000" w:themeColor="text1"/>
        </w:rPr>
      </w:pPr>
      <w:bookmarkStart w:id="30" w:name="bm_fig_replay"/>
      <w:r w:rsidRPr="00E4528F">
        <w:rPr>
          <w:rFonts w:cs="Times New Roman"/>
          <w:color w:val="000000" w:themeColor="text1"/>
        </w:rPr>
        <w:t>Figure 3.2. Replay and commit boundaries</w:t>
      </w:r>
      <w:bookmarkEnd w:id="30"/>
    </w:p>
    <w:p w14:paraId="329CBDDA" w14:textId="77777777" w:rsidR="00182B92" w:rsidRPr="00182B92" w:rsidRDefault="00182B92" w:rsidP="00182B92"/>
    <w:p w14:paraId="2780A9EF" w14:textId="7D6A5739" w:rsidR="00FE2287" w:rsidRPr="00E4528F" w:rsidRDefault="00000000">
      <w:pPr>
        <w:rPr>
          <w:rFonts w:cs="Times New Roman"/>
          <w:color w:val="000000" w:themeColor="text1"/>
        </w:rPr>
      </w:pPr>
      <w:r>
        <w:rPr>
          <w:rFonts w:cs="Times New Roman"/>
          <w:color w:val="000000" w:themeColor="text1"/>
        </w:rPr>
        <w:t>Figure 3.2 makes the commit and replay boundaries explicit. The API transaction stores the canonical claim intent, policy and claimant commitments, permit state and outbox item together. The claimant signs the exact forwarding request only after that state is fixed. Before broadcasting, the relayer durably records the raw transaction so that a timeout does not cause a different request to be invented. The wallet nonce, permit nonce and consumed-permit record make repeated delivery safe. After confirmation, the listener persists indexed events and publishes Kafka work</w:t>
      </w:r>
      <w:r w:rsidR="00182B92">
        <w:rPr>
          <w:rFonts w:cs="Times New Roman"/>
          <w:color w:val="000000" w:themeColor="text1"/>
        </w:rPr>
        <w:t>. O</w:t>
      </w:r>
      <w:r>
        <w:rPr>
          <w:rFonts w:cs="Times New Roman"/>
          <w:color w:val="000000" w:themeColor="text1"/>
        </w:rPr>
        <w:t>nly acknowledged publication advances the range checkpoint. If it fails earlier the same block range is reconsidered.</w:t>
      </w:r>
    </w:p>
    <w:p w14:paraId="0E040D6B" w14:textId="59FB0F1E" w:rsidR="00FE2287" w:rsidRPr="00E4528F" w:rsidRDefault="00000000">
      <w:pPr>
        <w:rPr>
          <w:rFonts w:cs="Times New Roman"/>
          <w:color w:val="000000" w:themeColor="text1"/>
        </w:rPr>
      </w:pPr>
      <w:r w:rsidRPr="00E4528F">
        <w:rPr>
          <w:rFonts w:cs="Times New Roman"/>
          <w:color w:val="000000" w:themeColor="text1"/>
        </w:rPr>
        <w:t>The worker also assumes that Kafka may deliver a message again. It derives a deterministic event identifier, checks for a completed assessment, verifies content, runs inference where needed, persists the result and attempts the contract update. Only then may the offset be committed. After a restart, the same message can return without creating a conflicting second assessment. This is described narrowly as effectively once behaviour</w:t>
      </w:r>
      <w:r w:rsidR="00182B92" w:rsidRPr="00E4528F">
        <w:rPr>
          <w:rFonts w:cs="Times New Roman"/>
          <w:color w:val="000000" w:themeColor="text1"/>
        </w:rPr>
        <w:t/>
      </w:r>
      <w:r w:rsidRPr="00E4528F">
        <w:rPr>
          <w:rFonts w:cs="Times New Roman"/>
          <w:color w:val="000000" w:themeColor="text1"/>
        </w:rPr>
        <w:t/>
      </w:r>
      <w:r w:rsidR="00182B92" w:rsidRPr="00E4528F">
        <w:rPr>
          <w:rFonts w:cs="Times New Roman"/>
          <w:color w:val="000000" w:themeColor="text1"/>
        </w:rPr>
        <w:t/>
      </w:r>
      <w:r w:rsidRPr="00E4528F">
        <w:rPr>
          <w:rFonts w:cs="Times New Roman"/>
          <w:color w:val="000000" w:themeColor="text1"/>
        </w:rPr>
        <w:t xml:space="preserve"> for the side effects covered by the idempotency rules, not as a system-wide </w:t>
      </w:r>
      <w:r w:rsidR="00182B92" w:rsidRPr="00E4528F">
        <w:rPr>
          <w:rFonts w:cs="Times New Roman"/>
          <w:color w:val="000000" w:themeColor="text1"/>
        </w:rPr>
        <w:t>exactly once</w:t>
      </w:r>
      <w:r w:rsidRPr="00E4528F">
        <w:rPr>
          <w:rFonts w:cs="Times New Roman"/>
          <w:color w:val="000000" w:themeColor="text1"/>
        </w:rPr>
        <w:t xml:space="preserve"> guarantee </w:t>
      </w:r>
      <w:sdt>
        <w:sdtPr>
          <w:rPr>
            <w:rFonts w:cs="Times New Roman"/>
            <w:color w:val="000000" w:themeColor="text1"/>
          </w:rPr>
          <w:id w:val="12000004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4C83824F" w14:textId="5F88CC48" w:rsidR="00FE2287" w:rsidRPr="00E4528F" w:rsidRDefault="00000000">
      <w:pPr>
        <w:rPr>
          <w:rFonts w:cs="Times New Roman"/>
          <w:color w:val="000000" w:themeColor="text1"/>
        </w:rPr>
      </w:pPr>
      <w:r w:rsidRPr="00E4528F">
        <w:rPr>
          <w:rFonts w:cs="Times New Roman"/>
          <w:color w:val="000000" w:themeColor="text1"/>
        </w:rPr>
        <w:t>Chain reorganisation is a related but distinct concern. The listener uses confirmed ranges and a recorded start point</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A</w:t>
      </w:r>
      <w:r w:rsidRPr="00E4528F">
        <w:rPr>
          <w:rFonts w:cs="Times New Roman"/>
          <w:color w:val="000000" w:themeColor="text1"/>
        </w:rPr>
        <w:t xml:space="preserve"> production configuration would need a documented confirmation-depth or finality policy, reorganisation detection and reconciliation for </w:t>
      </w:r>
      <w:r w:rsidRPr="00E4528F">
        <w:rPr>
          <w:rFonts w:cs="Times New Roman"/>
          <w:color w:val="000000" w:themeColor="text1"/>
        </w:rPr>
        <w:lastRenderedPageBreak/>
        <w:t>already published events. Public-test-network observation under deliberately induced reorganisations was outside the evaluation.</w:t>
      </w:r>
    </w:p>
    <w:p w14:paraId="6C2AF2A1" w14:textId="77777777" w:rsidR="00FE2287" w:rsidRPr="00E4528F" w:rsidRDefault="00000000">
      <w:pPr>
        <w:pStyle w:val="Heading2"/>
        <w:rPr>
          <w:rFonts w:ascii="Times New Roman" w:hAnsi="Times New Roman" w:cs="Times New Roman"/>
          <w:color w:val="000000" w:themeColor="text1"/>
        </w:rPr>
      </w:pPr>
      <w:bookmarkStart w:id="31" w:name="bm_s3_6"/>
      <w:r w:rsidRPr="00E4528F">
        <w:rPr>
          <w:rFonts w:ascii="Times New Roman" w:hAnsi="Times New Roman" w:cs="Times New Roman"/>
          <w:color w:val="000000" w:themeColor="text1"/>
        </w:rPr>
        <w:t>3.6 Feature and duplicate engineering</w:t>
      </w:r>
      <w:bookmarkEnd w:id="31"/>
    </w:p>
    <w:p w14:paraId="46AAF3D6" w14:textId="1F17389E" w:rsidR="00FE2287" w:rsidRPr="00E4528F" w:rsidRDefault="00000000">
      <w:pPr>
        <w:rPr>
          <w:rFonts w:cs="Times New Roman"/>
          <w:color w:val="000000" w:themeColor="text1"/>
        </w:rPr>
      </w:pPr>
      <w:r w:rsidRPr="00E4528F">
        <w:rPr>
          <w:rFonts w:cs="Times New Roman"/>
          <w:color w:val="000000" w:themeColor="text1"/>
        </w:rPr>
        <w:t>Feature engineering is governed by an allow-list. Numerical inputs include claim amount, premium, vehicle age, reporting delay, prior claim counts and related ratios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ategorical inputs include incident and geographic descriptors used by the versioned artifact. Free text, evidence bodies and raw policy references are excluded. Settlement amount, processing duration, source fraud probability and scenario labels were excluded because they arise after the intended decision point or expose the synthetic generator. This directly addresses temporal and target leakage, which can produce severe overestimation and misleading superiority over simpler baselines </w:t>
      </w:r>
      <w:sdt>
        <w:sdtPr>
          <w:rPr>
            <w:rFonts w:cs="Times New Roman"/>
            <w:color w:val="000000" w:themeColor="text1"/>
          </w:rPr>
          <w:id w:val="12000004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2759416B" w14:textId="77777777" w:rsidR="00FE2287" w:rsidRPr="00E4528F" w:rsidRDefault="00000000">
      <w:pPr>
        <w:rPr>
          <w:rFonts w:cs="Times New Roman"/>
          <w:color w:val="000000" w:themeColor="text1"/>
        </w:rPr>
      </w:pPr>
      <w:r w:rsidRPr="00E4528F">
        <w:rPr>
          <w:rFonts w:cs="Times New Roman"/>
          <w:color w:val="000000" w:themeColor="text1"/>
        </w:rPr>
        <w:t xml:space="preserve">Duplicate screening uses a canonical representation of selected incident fields and a server-held HMAC-SHA-256 key. The keyed fingerprint is compared only inside the private service boundary and makes simple public dictionary calculation harder than an unkeyed digest, provided the key is generated and protected appropriately. A match produces a review candidate rather than proof because protected linkage retains linkage, inference and governance risks </w:t>
      </w:r>
      <w:sdt>
        <w:sdtPr>
          <w:rPr>
            <w:rFonts w:cs="Times New Roman"/>
            <w:color w:val="000000" w:themeColor="text1"/>
          </w:rPr>
          <w:id w:val="12000004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262F7632" w14:textId="77777777" w:rsidR="00FE2287" w:rsidRPr="00E4528F" w:rsidRDefault="00000000">
      <w:pPr>
        <w:rPr>
          <w:rFonts w:cs="Times New Roman"/>
          <w:color w:val="000000" w:themeColor="text1"/>
        </w:rPr>
      </w:pPr>
      <w:r w:rsidRPr="00E4528F">
        <w:rPr>
          <w:rFonts w:cs="Times New Roman"/>
          <w:color w:val="000000" w:themeColor="text1"/>
        </w:rPr>
        <w:t>A production implementation would need governance for which fields enter the fingerprint, how corrections are handled, who holds the secret, and how key rotation preserves or intentionally invalidates prior matches. It would also need controls against membership inference through repeated authorised queries. The prototype shows the engineering pattern but not a mature consortium privacy protocol.</w:t>
      </w:r>
    </w:p>
    <w:p w14:paraId="05D62B38" w14:textId="77777777" w:rsidR="00FE2287" w:rsidRPr="00E4528F" w:rsidRDefault="00000000">
      <w:pPr>
        <w:pStyle w:val="Heading2"/>
        <w:rPr>
          <w:rFonts w:ascii="Times New Roman" w:hAnsi="Times New Roman" w:cs="Times New Roman"/>
          <w:color w:val="000000" w:themeColor="text1"/>
          <w:sz w:val="32"/>
          <w:szCs w:val="32"/>
        </w:rPr>
      </w:pPr>
      <w:bookmarkStart w:id="32" w:name="bm_s3_7"/>
      <w:r w:rsidRPr="00E4528F">
        <w:rPr>
          <w:rFonts w:ascii="Times New Roman" w:hAnsi="Times New Roman" w:cs="Times New Roman"/>
          <w:color w:val="000000" w:themeColor="text1"/>
          <w:sz w:val="32"/>
          <w:szCs w:val="32"/>
        </w:rPr>
        <w:t>3.7 Predictive modelling method</w:t>
      </w:r>
      <w:bookmarkEnd w:id="32"/>
    </w:p>
    <w:p w14:paraId="0444A8A9" w14:textId="77777777" w:rsidR="00FE2287" w:rsidRPr="00E4528F" w:rsidRDefault="00000000">
      <w:pPr>
        <w:rPr>
          <w:rFonts w:cs="Times New Roman"/>
          <w:color w:val="000000" w:themeColor="text1"/>
        </w:rPr>
      </w:pPr>
      <w:r w:rsidRPr="00E4528F">
        <w:rPr>
          <w:rFonts w:cs="Times New Roman"/>
          <w:color w:val="000000" w:themeColor="text1"/>
        </w:rPr>
        <w:t xml:space="preserve">The evaluation used the versioned African Motor Insurance Claims Dataset. After preprocessing, the prototype records 99,982 usable rows and the source file’s SHA-256 hash, so the input can be checked </w:t>
      </w:r>
      <w:sdt>
        <w:sdtPr>
          <w:rPr>
            <w:rFonts w:cs="Times New Roman"/>
            <w:color w:val="000000" w:themeColor="text1"/>
          </w:rPr>
          <w:id w:val="12000004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ESA26 \l 1033 </w:instrText>
          </w:r>
          <w:r w:rsidRPr="00E4528F">
            <w:rPr>
              <w:rFonts w:cs="Times New Roman"/>
              <w:color w:val="000000" w:themeColor="text1"/>
            </w:rPr>
            <w:fldChar w:fldCharType="separate"/>
          </w:r>
          <w:r w:rsidRPr="00E4528F">
            <w:rPr>
              <w:rFonts w:cs="Times New Roman"/>
              <w:noProof/>
              <w:color w:val="000000" w:themeColor="text1"/>
            </w:rPr>
            <w:t>(Electric Sheep Africa, 2026)</w:t>
          </w:r>
          <w:r w:rsidRPr="00E4528F">
            <w:rPr>
              <w:rFonts w:cs="Times New Roman"/>
              <w:color w:val="000000" w:themeColor="text1"/>
            </w:rPr>
            <w:fldChar w:fldCharType="end"/>
          </w:r>
        </w:sdtContent>
      </w:sdt>
      <w:r w:rsidRPr="00E4528F">
        <w:rPr>
          <w:rFonts w:cs="Times New Roman"/>
          <w:color w:val="000000" w:themeColor="text1"/>
        </w:rPr>
        <w:t xml:space="preserve">. Records were ordered chronologically and split 70/15/15 into training, validation and test partitions. The test partition was not used for fitting or threshold selection. This reduces adaptation to the reported hold-out and </w:t>
      </w:r>
      <w:r w:rsidRPr="00E4528F">
        <w:rPr>
          <w:rFonts w:cs="Times New Roman"/>
          <w:color w:val="000000" w:themeColor="text1"/>
        </w:rPr>
        <w:lastRenderedPageBreak/>
        <w:t xml:space="preserve">resembles a future-use boundary more closely than a random split, although it cannot remove every dependency or future distribution shift </w:t>
      </w:r>
      <w:sdt>
        <w:sdtPr>
          <w:rPr>
            <w:rFonts w:cs="Times New Roman"/>
            <w:color w:val="000000" w:themeColor="text1"/>
          </w:rPr>
          <w:id w:val="12000004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59072067"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6B5B8F94" wp14:editId="32A013DB">
            <wp:extent cx="5486400" cy="2992367"/>
            <wp:effectExtent l="0" t="0" r="0" b="0"/>
            <wp:docPr id="3" name="Picture 3" descr="Chronological train, validation and held-out test flow with leakage exclusions, preprocessing, logistic and XGBoost comparison, threshold selection and SHAP output." title="Figure 3.3. Chronological model-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ipeline.png"/>
                    <pic:cNvPicPr/>
                  </pic:nvPicPr>
                  <pic:blipFill>
                    <a:blip r:embed="rId14"/>
                    <a:stretch>
                      <a:fillRect/>
                    </a:stretch>
                  </pic:blipFill>
                  <pic:spPr>
                    <a:xfrm>
                      <a:off x="0" y="0"/>
                      <a:ext cx="5486400" cy="2992367"/>
                    </a:xfrm>
                    <a:prstGeom prst="rect">
                      <a:avLst/>
                    </a:prstGeom>
                  </pic:spPr>
                </pic:pic>
              </a:graphicData>
            </a:graphic>
          </wp:inline>
        </w:drawing>
      </w:r>
    </w:p>
    <w:p w14:paraId="0172F46D" w14:textId="77777777" w:rsidR="00FE2287" w:rsidRDefault="00000000" w:rsidP="00C76C0C">
      <w:pPr>
        <w:pStyle w:val="Caption"/>
        <w:rPr>
          <w:rFonts w:cs="Times New Roman"/>
          <w:color w:val="000000" w:themeColor="text1"/>
        </w:rPr>
      </w:pPr>
      <w:bookmarkStart w:id="33" w:name="bm_fig_eval"/>
      <w:r w:rsidRPr="00E4528F">
        <w:rPr>
          <w:rFonts w:cs="Times New Roman"/>
          <w:color w:val="000000" w:themeColor="text1"/>
        </w:rPr>
        <w:t>Figure 3.3. Chronological model-evaluation pipeline</w:t>
      </w:r>
      <w:bookmarkEnd w:id="33"/>
    </w:p>
    <w:p w14:paraId="62CDD067" w14:textId="77777777" w:rsidR="001A6733" w:rsidRPr="001A6733" w:rsidRDefault="001A6733" w:rsidP="001A6733"/>
    <w:p w14:paraId="3217A761" w14:textId="77777777" w:rsidR="00FE2287" w:rsidRPr="00E4528F" w:rsidRDefault="00000000">
      <w:pPr>
        <w:rPr>
          <w:rFonts w:cs="Times New Roman"/>
          <w:color w:val="000000" w:themeColor="text1"/>
        </w:rPr>
      </w:pPr>
      <w:r w:rsidRPr="00E4528F">
        <w:rPr>
          <w:rFonts w:cs="Times New Roman"/>
          <w:color w:val="000000" w:themeColor="text1"/>
        </w:rPr>
        <w:t xml:space="preserve">Logistic regression provides the interpretable linear baseline. XGBoost supplies a regularised non-linear ensemble for feature interactions in tabular data. Preprocessing is fitted on training data, thresholds are selected on validation evidence and both are frozen for test evaluation. Because the scores are not legal findings, threshold selection is interpreted as a review-capacity and asymmetric error-cost decision rather than a universal definition of fraud </w:t>
      </w:r>
      <w:sdt>
        <w:sdtPr>
          <w:rPr>
            <w:rFonts w:cs="Times New Roman"/>
            <w:color w:val="000000" w:themeColor="text1"/>
          </w:rPr>
          <w:id w:val="12000004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Car26</w:instrText>
          </w:r>
          <w:r w:rsidRPr="00E4528F">
            <w:rPr>
              <w:rFonts w:cs="Times New Roman"/>
              <w:color w:val="000000" w:themeColor="text1"/>
            </w:rPr>
            <w:fldChar w:fldCharType="separate"/>
          </w:r>
          <w:r w:rsidRPr="00E4528F">
            <w:rPr>
              <w:rFonts w:cs="Times New Roman"/>
              <w:noProof/>
              <w:color w:val="000000" w:themeColor="text1"/>
            </w:rPr>
            <w:t>(Schrijver, Sarmah and El-Hajj, 2024;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507D0D67" w14:textId="77777777" w:rsidR="00FE2287" w:rsidRPr="00E4528F" w:rsidRDefault="00000000">
      <w:pPr>
        <w:rPr>
          <w:rFonts w:cs="Times New Roman"/>
          <w:color w:val="000000" w:themeColor="text1"/>
        </w:rPr>
      </w:pPr>
      <w:r w:rsidRPr="00E4528F">
        <w:rPr>
          <w:rFonts w:cs="Times New Roman"/>
          <w:color w:val="000000" w:themeColor="text1"/>
        </w:rPr>
        <w:t xml:space="preserve">Evaluation reports PR-AUC, ROC-AUC, precision, recall, F1 and Brier score. PR-AUC is foregrounded because the positive class is uncommon and the practical meaning of a positive prediction depends on prevalence and threshold. Confusion matrices translate thresholds into review outcomes. A Brier score summarises squared probability error, but one aggregate value does not replace reliability plots and subgroup calibration </w:t>
      </w:r>
      <w:sdt>
        <w:sdtPr>
          <w:rPr>
            <w:rFonts w:cs="Times New Roman"/>
            <w:color w:val="000000" w:themeColor="text1"/>
          </w:rPr>
          <w:id w:val="12000004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w:instrText>
          </w:r>
          <w:r w:rsidRPr="00E4528F">
            <w:rPr>
              <w:rFonts w:cs="Times New Roman"/>
              <w:color w:val="000000" w:themeColor="text1"/>
            </w:rPr>
            <w:fldChar w:fldCharType="separate"/>
          </w:r>
          <w:r w:rsidRPr="00E4528F">
            <w:rPr>
              <w:rFonts w:cs="Times New Roman"/>
              <w:noProof/>
              <w:color w:val="000000" w:themeColor="text1"/>
            </w:rPr>
            <w:t>(Dimitriadis et al., 2024)</w:t>
          </w:r>
          <w:r w:rsidRPr="00E4528F">
            <w:rPr>
              <w:rFonts w:cs="Times New Roman"/>
              <w:color w:val="000000" w:themeColor="text1"/>
            </w:rPr>
            <w:fldChar w:fldCharType="end"/>
          </w:r>
        </w:sdtContent>
      </w:sdt>
      <w:r w:rsidRPr="00E4528F">
        <w:rPr>
          <w:rFonts w:cs="Times New Roman"/>
          <w:color w:val="000000" w:themeColor="text1"/>
        </w:rPr>
        <w:t xml:space="preserve">. SHAP supports diagnostic review, subject to the limitations of post-hoc feature attribution and recipient comprehension </w:t>
      </w:r>
      <w:sdt>
        <w:sdtPr>
          <w:rPr>
            <w:rFonts w:cs="Times New Roman"/>
            <w:color w:val="000000" w:themeColor="text1"/>
          </w:rPr>
          <w:id w:val="12000004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Bro21 \l 1033  \m Phi21</w:instrText>
          </w:r>
          <w:r w:rsidRPr="00E4528F">
            <w:rPr>
              <w:rFonts w:cs="Times New Roman"/>
              <w:color w:val="000000" w:themeColor="text1"/>
            </w:rPr>
            <w:fldChar w:fldCharType="separate"/>
          </w:r>
          <w:r w:rsidRPr="00E4528F">
            <w:rPr>
              <w:rFonts w:cs="Times New Roman"/>
              <w:noProof/>
              <w:color w:val="000000" w:themeColor="text1"/>
            </w:rPr>
            <w:t>(Broniatowski, 2021; Phillips et al., 2021)</w:t>
          </w:r>
          <w:r w:rsidRPr="00E4528F">
            <w:rPr>
              <w:rFonts w:cs="Times New Roman"/>
              <w:color w:val="000000" w:themeColor="text1"/>
            </w:rPr>
            <w:fldChar w:fldCharType="end"/>
          </w:r>
        </w:sdtContent>
      </w:sdt>
      <w:r w:rsidRPr="00E4528F">
        <w:rPr>
          <w:rFonts w:cs="Times New Roman"/>
          <w:color w:val="000000" w:themeColor="text1"/>
        </w:rPr>
        <w:t>.</w:t>
      </w:r>
    </w:p>
    <w:p w14:paraId="6878139A" w14:textId="77777777" w:rsidR="00FE2287" w:rsidRPr="00E4528F" w:rsidRDefault="00000000">
      <w:pPr>
        <w:pStyle w:val="Heading2"/>
        <w:rPr>
          <w:rFonts w:ascii="Times New Roman" w:hAnsi="Times New Roman" w:cs="Times New Roman"/>
          <w:color w:val="000000" w:themeColor="text1"/>
          <w:sz w:val="32"/>
          <w:szCs w:val="32"/>
        </w:rPr>
      </w:pPr>
      <w:bookmarkStart w:id="34" w:name="bm_s3_8"/>
      <w:r w:rsidRPr="00E4528F">
        <w:rPr>
          <w:rFonts w:ascii="Times New Roman" w:hAnsi="Times New Roman" w:cs="Times New Roman"/>
          <w:color w:val="000000" w:themeColor="text1"/>
          <w:sz w:val="32"/>
          <w:szCs w:val="32"/>
        </w:rPr>
        <w:lastRenderedPageBreak/>
        <w:t>3.8 Evaluation design</w:t>
      </w:r>
      <w:bookmarkEnd w:id="34"/>
    </w:p>
    <w:p w14:paraId="6194E1BF" w14:textId="77777777" w:rsidR="00FE2287" w:rsidRPr="00E4528F" w:rsidRDefault="00000000">
      <w:pPr>
        <w:rPr>
          <w:rFonts w:cs="Times New Roman"/>
          <w:color w:val="000000" w:themeColor="text1"/>
        </w:rPr>
      </w:pPr>
      <w:r w:rsidRPr="00E4528F">
        <w:rPr>
          <w:rFonts w:cs="Times New Roman"/>
          <w:color w:val="000000" w:themeColor="text1"/>
        </w:rPr>
        <w:t>The evaluation was organised around claims that the prototype could reasonably support. The predictive stream asks how the models rank and classify a fixed synthetic hold-out. The verification stream asks whether access, lifecycle, replay, feature and interface behaviour matches the implementation. A third stream would have measured performance under controlled load and failure, but that evidence was not captured. Table 3.3 keeps the missing stream visible instead of treating it as completed work.</w:t>
      </w:r>
    </w:p>
    <w:p w14:paraId="27A53E52" w14:textId="77777777" w:rsidR="00FE2287" w:rsidRPr="00E4528F" w:rsidRDefault="00000000" w:rsidP="00C76C0C">
      <w:pPr>
        <w:pStyle w:val="Caption"/>
        <w:rPr>
          <w:rFonts w:cs="Times New Roman"/>
          <w:color w:val="000000" w:themeColor="text1"/>
        </w:rPr>
      </w:pPr>
      <w:bookmarkStart w:id="35" w:name="bm_tab_eval"/>
      <w:r w:rsidRPr="00E4528F">
        <w:rPr>
          <w:rFonts w:cs="Times New Roman"/>
          <w:color w:val="000000" w:themeColor="text1"/>
        </w:rPr>
        <w:t>Table 3.3. Evaluation questions, measures and evidence</w:t>
      </w:r>
      <w:bookmarkEnd w:id="3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E4528F" w14:paraId="05B1FAAD" w14:textId="77777777" w:rsidTr="00C74B7B">
        <w:trPr>
          <w:cantSplit/>
          <w:tblHeader/>
          <w:jc w:val="center"/>
        </w:trPr>
        <w:tc>
          <w:tcPr>
            <w:tcW w:w="1944" w:type="dxa"/>
            <w:shd w:val="clear" w:color="auto" w:fill="17365D"/>
            <w:tcMar>
              <w:top w:w="80" w:type="dxa"/>
              <w:left w:w="90" w:type="dxa"/>
              <w:bottom w:w="80" w:type="dxa"/>
              <w:right w:w="90" w:type="dxa"/>
            </w:tcMar>
            <w:vAlign w:val="center"/>
          </w:tcPr>
          <w:p w14:paraId="095492C7"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Question</w:t>
            </w:r>
          </w:p>
        </w:tc>
        <w:tc>
          <w:tcPr>
            <w:tcW w:w="2309" w:type="dxa"/>
            <w:shd w:val="clear" w:color="auto" w:fill="17365D"/>
            <w:tcMar>
              <w:top w:w="80" w:type="dxa"/>
              <w:left w:w="90" w:type="dxa"/>
              <w:bottom w:w="80" w:type="dxa"/>
              <w:right w:w="90" w:type="dxa"/>
            </w:tcMar>
            <w:vAlign w:val="center"/>
          </w:tcPr>
          <w:p w14:paraId="0C8F9E9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Measure</w:t>
            </w:r>
          </w:p>
        </w:tc>
        <w:tc>
          <w:tcPr>
            <w:tcW w:w="1867" w:type="dxa"/>
            <w:shd w:val="clear" w:color="auto" w:fill="17365D"/>
            <w:tcMar>
              <w:top w:w="80" w:type="dxa"/>
              <w:left w:w="90" w:type="dxa"/>
              <w:bottom w:w="80" w:type="dxa"/>
              <w:right w:w="90" w:type="dxa"/>
            </w:tcMar>
            <w:vAlign w:val="center"/>
          </w:tcPr>
          <w:p w14:paraId="7CC470A1"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Evidence status</w:t>
            </w:r>
          </w:p>
        </w:tc>
        <w:tc>
          <w:tcPr>
            <w:tcW w:w="2520" w:type="dxa"/>
            <w:shd w:val="clear" w:color="auto" w:fill="17365D"/>
            <w:tcMar>
              <w:top w:w="80" w:type="dxa"/>
              <w:left w:w="90" w:type="dxa"/>
              <w:bottom w:w="80" w:type="dxa"/>
              <w:right w:w="90" w:type="dxa"/>
            </w:tcMar>
            <w:vAlign w:val="center"/>
          </w:tcPr>
          <w:p w14:paraId="1721C5E7"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Interpretive boundary</w:t>
            </w:r>
          </w:p>
        </w:tc>
      </w:tr>
      <w:tr w:rsidR="00FE2287" w:rsidRPr="00E4528F" w14:paraId="6C5F6645" w14:textId="77777777" w:rsidTr="00C74B7B">
        <w:trPr>
          <w:cantSplit/>
          <w:jc w:val="center"/>
        </w:trPr>
        <w:tc>
          <w:tcPr>
            <w:tcW w:w="1944" w:type="dxa"/>
            <w:tcMar>
              <w:top w:w="80" w:type="dxa"/>
              <w:left w:w="90" w:type="dxa"/>
              <w:bottom w:w="80" w:type="dxa"/>
              <w:right w:w="90" w:type="dxa"/>
            </w:tcMar>
            <w:vAlign w:val="center"/>
          </w:tcPr>
          <w:p w14:paraId="17EA64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Does the model prioritise positives?</w:t>
            </w:r>
          </w:p>
        </w:tc>
        <w:tc>
          <w:tcPr>
            <w:tcW w:w="2309" w:type="dxa"/>
            <w:tcMar>
              <w:top w:w="80" w:type="dxa"/>
              <w:left w:w="90" w:type="dxa"/>
              <w:bottom w:w="80" w:type="dxa"/>
              <w:right w:w="90" w:type="dxa"/>
            </w:tcMar>
            <w:vAlign w:val="center"/>
          </w:tcPr>
          <w:p w14:paraId="161CE3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PR-AUC, ROC-AUC and recall on chronological test set.</w:t>
            </w:r>
          </w:p>
        </w:tc>
        <w:tc>
          <w:tcPr>
            <w:tcW w:w="1867" w:type="dxa"/>
            <w:tcMar>
              <w:top w:w="80" w:type="dxa"/>
              <w:left w:w="90" w:type="dxa"/>
              <w:bottom w:w="80" w:type="dxa"/>
              <w:right w:w="90" w:type="dxa"/>
            </w:tcMar>
            <w:vAlign w:val="center"/>
          </w:tcPr>
          <w:p w14:paraId="6D5A11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in versioned model metadata.</w:t>
            </w:r>
          </w:p>
        </w:tc>
        <w:tc>
          <w:tcPr>
            <w:tcW w:w="2520" w:type="dxa"/>
            <w:tcMar>
              <w:top w:w="80" w:type="dxa"/>
              <w:left w:w="90" w:type="dxa"/>
              <w:bottom w:w="80" w:type="dxa"/>
              <w:right w:w="90" w:type="dxa"/>
            </w:tcMar>
            <w:vAlign w:val="center"/>
          </w:tcPr>
          <w:p w14:paraId="335559B6" w14:textId="531F950E"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Synthetic dataset</w:t>
            </w:r>
            <w:r w:rsidR="001765B6" w:rsidRPr="00E4528F">
              <w:rPr>
                <w:rFonts w:cs="Times New Roman"/>
                <w:color w:val="000000" w:themeColor="text1"/>
                <w:sz w:val="16"/>
              </w:rPr>
              <w:t>,</w:t>
            </w:r>
            <w:r w:rsidRPr="00E4528F">
              <w:rPr>
                <w:rFonts w:cs="Times New Roman"/>
                <w:color w:val="000000" w:themeColor="text1"/>
                <w:sz w:val="16"/>
              </w:rPr>
              <w:t xml:space="preserve"> no real-portfolio external validity.</w:t>
            </w:r>
          </w:p>
        </w:tc>
      </w:tr>
      <w:tr w:rsidR="00FE2287" w:rsidRPr="00E4528F" w14:paraId="10D9EE29" w14:textId="77777777" w:rsidTr="00C74B7B">
        <w:trPr>
          <w:cantSplit/>
          <w:jc w:val="center"/>
        </w:trPr>
        <w:tc>
          <w:tcPr>
            <w:tcW w:w="1944" w:type="dxa"/>
            <w:shd w:val="clear" w:color="auto" w:fill="F3F6F9"/>
            <w:tcMar>
              <w:top w:w="80" w:type="dxa"/>
              <w:left w:w="90" w:type="dxa"/>
              <w:bottom w:w="80" w:type="dxa"/>
              <w:right w:w="90" w:type="dxa"/>
            </w:tcMar>
            <w:vAlign w:val="center"/>
          </w:tcPr>
          <w:p w14:paraId="22E3460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What review workload follows?</w:t>
            </w:r>
          </w:p>
        </w:tc>
        <w:tc>
          <w:tcPr>
            <w:tcW w:w="2309" w:type="dxa"/>
            <w:shd w:val="clear" w:color="auto" w:fill="F3F6F9"/>
            <w:tcMar>
              <w:top w:w="80" w:type="dxa"/>
              <w:left w:w="90" w:type="dxa"/>
              <w:bottom w:w="80" w:type="dxa"/>
              <w:right w:w="90" w:type="dxa"/>
            </w:tcMar>
            <w:vAlign w:val="center"/>
          </w:tcPr>
          <w:p w14:paraId="04022FA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Precision, F1, threshold and confusion matrix.</w:t>
            </w:r>
          </w:p>
        </w:tc>
        <w:tc>
          <w:tcPr>
            <w:tcW w:w="1867" w:type="dxa"/>
            <w:shd w:val="clear" w:color="auto" w:fill="F3F6F9"/>
            <w:tcMar>
              <w:top w:w="80" w:type="dxa"/>
              <w:left w:w="90" w:type="dxa"/>
              <w:bottom w:w="80" w:type="dxa"/>
              <w:right w:w="90" w:type="dxa"/>
            </w:tcMar>
            <w:vAlign w:val="center"/>
          </w:tcPr>
          <w:p w14:paraId="62EB84A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for logistic and XGBoost artifacts.</w:t>
            </w:r>
          </w:p>
        </w:tc>
        <w:tc>
          <w:tcPr>
            <w:tcW w:w="2520" w:type="dxa"/>
            <w:shd w:val="clear" w:color="auto" w:fill="F3F6F9"/>
            <w:tcMar>
              <w:top w:w="80" w:type="dxa"/>
              <w:left w:w="90" w:type="dxa"/>
              <w:bottom w:w="80" w:type="dxa"/>
              <w:right w:w="90" w:type="dxa"/>
            </w:tcMar>
            <w:vAlign w:val="center"/>
          </w:tcPr>
          <w:p w14:paraId="004C796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Investigation costs were not monetised.</w:t>
            </w:r>
          </w:p>
        </w:tc>
      </w:tr>
      <w:tr w:rsidR="00FE2287" w:rsidRPr="00E4528F" w14:paraId="555D9819" w14:textId="77777777" w:rsidTr="00C74B7B">
        <w:trPr>
          <w:cantSplit/>
          <w:jc w:val="center"/>
        </w:trPr>
        <w:tc>
          <w:tcPr>
            <w:tcW w:w="1944" w:type="dxa"/>
            <w:tcMar>
              <w:top w:w="80" w:type="dxa"/>
              <w:left w:w="90" w:type="dxa"/>
              <w:bottom w:w="80" w:type="dxa"/>
              <w:right w:w="90" w:type="dxa"/>
            </w:tcMar>
            <w:vAlign w:val="center"/>
          </w:tcPr>
          <w:p w14:paraId="139265E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Can a reviewer inspect drivers?</w:t>
            </w:r>
          </w:p>
        </w:tc>
        <w:tc>
          <w:tcPr>
            <w:tcW w:w="2309" w:type="dxa"/>
            <w:tcMar>
              <w:top w:w="80" w:type="dxa"/>
              <w:left w:w="90" w:type="dxa"/>
              <w:bottom w:w="80" w:type="dxa"/>
              <w:right w:w="90" w:type="dxa"/>
            </w:tcMar>
            <w:vAlign w:val="center"/>
          </w:tcPr>
          <w:p w14:paraId="725C09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Global SHAP summary and stored explanation path.</w:t>
            </w:r>
          </w:p>
        </w:tc>
        <w:tc>
          <w:tcPr>
            <w:tcW w:w="1867" w:type="dxa"/>
            <w:tcMar>
              <w:top w:w="80" w:type="dxa"/>
              <w:left w:w="90" w:type="dxa"/>
              <w:bottom w:w="80" w:type="dxa"/>
              <w:right w:w="90" w:type="dxa"/>
            </w:tcMar>
            <w:vAlign w:val="center"/>
          </w:tcPr>
          <w:p w14:paraId="4FF649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for integrated XGBoost artifact.</w:t>
            </w:r>
          </w:p>
        </w:tc>
        <w:tc>
          <w:tcPr>
            <w:tcW w:w="2520" w:type="dxa"/>
            <w:tcMar>
              <w:top w:w="80" w:type="dxa"/>
              <w:left w:w="90" w:type="dxa"/>
              <w:bottom w:w="80" w:type="dxa"/>
              <w:right w:w="90" w:type="dxa"/>
            </w:tcMar>
            <w:vAlign w:val="center"/>
          </w:tcPr>
          <w:p w14:paraId="36682B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Attribution is not causality or fairness assurance.</w:t>
            </w:r>
          </w:p>
        </w:tc>
      </w:tr>
      <w:tr w:rsidR="00FE2287" w:rsidRPr="00E4528F" w14:paraId="09BCD656" w14:textId="77777777" w:rsidTr="00C74B7B">
        <w:trPr>
          <w:cantSplit/>
          <w:jc w:val="center"/>
        </w:trPr>
        <w:tc>
          <w:tcPr>
            <w:tcW w:w="1944" w:type="dxa"/>
            <w:shd w:val="clear" w:color="auto" w:fill="F3F6F9"/>
            <w:tcMar>
              <w:top w:w="80" w:type="dxa"/>
              <w:left w:w="90" w:type="dxa"/>
              <w:bottom w:w="80" w:type="dxa"/>
              <w:right w:w="90" w:type="dxa"/>
            </w:tcMar>
            <w:vAlign w:val="center"/>
          </w:tcPr>
          <w:p w14:paraId="02A0D92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Are contract and pipeline rules enforced?</w:t>
            </w:r>
          </w:p>
        </w:tc>
        <w:tc>
          <w:tcPr>
            <w:tcW w:w="2309" w:type="dxa"/>
            <w:shd w:val="clear" w:color="auto" w:fill="F3F6F9"/>
            <w:tcMar>
              <w:top w:w="80" w:type="dxa"/>
              <w:left w:w="90" w:type="dxa"/>
              <w:bottom w:w="80" w:type="dxa"/>
              <w:right w:w="90" w:type="dxa"/>
            </w:tcMar>
            <w:vAlign w:val="center"/>
          </w:tcPr>
          <w:p w14:paraId="6FB7F12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 fuzz, component and isolated browser tests.</w:t>
            </w:r>
          </w:p>
        </w:tc>
        <w:tc>
          <w:tcPr>
            <w:tcW w:w="1867" w:type="dxa"/>
            <w:shd w:val="clear" w:color="auto" w:fill="F3F6F9"/>
            <w:tcMar>
              <w:top w:w="80" w:type="dxa"/>
              <w:left w:w="90" w:type="dxa"/>
              <w:bottom w:w="80" w:type="dxa"/>
              <w:right w:w="90" w:type="dxa"/>
            </w:tcMar>
            <w:vAlign w:val="center"/>
          </w:tcPr>
          <w:p w14:paraId="7EAC5224" w14:textId="4BAD2054" w:rsidR="00FE2287" w:rsidRPr="00E4528F" w:rsidRDefault="00000000">
            <w:pPr>
              <w:spacing w:after="0" w:line="240" w:lineRule="auto"/>
              <w:rPr>
                <w:rFonts w:cs="Times New Roman"/>
                <w:color w:val="000000" w:themeColor="text1"/>
              </w:rPr>
            </w:pPr>
            <w:r>
              <w:rPr>
                <w:rFonts w:cs="Times New Roman"/>
                <w:color w:val="000000" w:themeColor="text1"/>
                <w:sz w:val="16"/>
              </w:rPr>
              <w:t>Executed in isolated suites; 310 behavioural checks passed.</w:t>
            </w:r>
          </w:p>
        </w:tc>
        <w:tc>
          <w:tcPr>
            <w:tcW w:w="2520" w:type="dxa"/>
            <w:shd w:val="clear" w:color="auto" w:fill="F3F6F9"/>
            <w:tcMar>
              <w:top w:w="80" w:type="dxa"/>
              <w:left w:w="90" w:type="dxa"/>
              <w:bottom w:w="80" w:type="dxa"/>
              <w:right w:w="90" w:type="dxa"/>
            </w:tcMar>
            <w:vAlign w:val="center"/>
          </w:tcPr>
          <w:p w14:paraId="33D83D8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Eight infrastructure-backed Python tests were deselected; two browser paths were exercised.</w:t>
            </w:r>
          </w:p>
        </w:tc>
      </w:tr>
      <w:tr w:rsidR="00FE2287" w:rsidRPr="00E4528F" w14:paraId="748F0687" w14:textId="77777777" w:rsidTr="00C74B7B">
        <w:trPr>
          <w:cantSplit/>
          <w:jc w:val="center"/>
        </w:trPr>
        <w:tc>
          <w:tcPr>
            <w:tcW w:w="1944" w:type="dxa"/>
            <w:tcMar>
              <w:top w:w="80" w:type="dxa"/>
              <w:left w:w="90" w:type="dxa"/>
              <w:bottom w:w="80" w:type="dxa"/>
              <w:right w:w="90" w:type="dxa"/>
            </w:tcMar>
            <w:vAlign w:val="center"/>
          </w:tcPr>
          <w:p w14:paraId="2C774B8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Is implementation quality monitored?</w:t>
            </w:r>
          </w:p>
        </w:tc>
        <w:tc>
          <w:tcPr>
            <w:tcW w:w="2309" w:type="dxa"/>
            <w:tcMar>
              <w:top w:w="80" w:type="dxa"/>
              <w:left w:w="90" w:type="dxa"/>
              <w:bottom w:w="80" w:type="dxa"/>
              <w:right w:w="90" w:type="dxa"/>
            </w:tcMar>
            <w:vAlign w:val="center"/>
          </w:tcPr>
          <w:p w14:paraId="7798586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Branch-aware coverage, lint and production frontend build.</w:t>
            </w:r>
          </w:p>
        </w:tc>
        <w:tc>
          <w:tcPr>
            <w:tcW w:w="1867" w:type="dxa"/>
            <w:tcMar>
              <w:top w:w="80" w:type="dxa"/>
              <w:left w:w="90" w:type="dxa"/>
              <w:bottom w:w="80" w:type="dxa"/>
              <w:right w:w="90" w:type="dxa"/>
            </w:tcMar>
            <w:vAlign w:val="center"/>
          </w:tcPr>
          <w:p w14:paraId="2A8508CB" w14:textId="4BBE2004" w:rsidR="00FE2287" w:rsidRPr="00E4528F" w:rsidRDefault="00000000">
            <w:pPr>
              <w:spacing w:after="0" w:line="240" w:lineRule="auto"/>
              <w:rPr>
                <w:rFonts w:cs="Times New Roman"/>
                <w:color w:val="000000" w:themeColor="text1"/>
              </w:rPr>
            </w:pPr>
            <w:r>
              <w:rPr>
                <w:rFonts w:cs="Times New Roman"/>
                <w:color w:val="000000" w:themeColor="text1"/>
                <w:sz w:val="16"/>
              </w:rPr>
              <w:t>74.71% branch-aware Python coverage; Ruff, frontend lint and production build passed.</w:t>
            </w:r>
          </w:p>
        </w:tc>
        <w:tc>
          <w:tcPr>
            <w:tcW w:w="2520" w:type="dxa"/>
            <w:tcMar>
              <w:top w:w="80" w:type="dxa"/>
              <w:left w:w="90" w:type="dxa"/>
              <w:bottom w:w="80" w:type="dxa"/>
              <w:right w:w="90" w:type="dxa"/>
            </w:tcMar>
            <w:vAlign w:val="center"/>
          </w:tcPr>
          <w:p w14:paraId="4CAF1A4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Coverage missed the configured 75% gate by 0.29 percentage points.</w:t>
            </w:r>
          </w:p>
        </w:tc>
      </w:tr>
      <w:tr w:rsidR="00FE2287" w:rsidRPr="00E4528F" w14:paraId="2D490440" w14:textId="77777777" w:rsidTr="00C74B7B">
        <w:trPr>
          <w:cantSplit/>
          <w:jc w:val="center"/>
        </w:trPr>
        <w:tc>
          <w:tcPr>
            <w:tcW w:w="1944" w:type="dxa"/>
            <w:shd w:val="clear" w:color="auto" w:fill="F3F6F9"/>
            <w:tcMar>
              <w:top w:w="80" w:type="dxa"/>
              <w:left w:w="90" w:type="dxa"/>
              <w:bottom w:w="80" w:type="dxa"/>
              <w:right w:w="90" w:type="dxa"/>
            </w:tcMar>
            <w:vAlign w:val="center"/>
          </w:tcPr>
          <w:p w14:paraId="2DFA5D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Does it scale under production load?</w:t>
            </w:r>
          </w:p>
        </w:tc>
        <w:tc>
          <w:tcPr>
            <w:tcW w:w="2309" w:type="dxa"/>
            <w:shd w:val="clear" w:color="auto" w:fill="F3F6F9"/>
            <w:tcMar>
              <w:top w:w="80" w:type="dxa"/>
              <w:left w:w="90" w:type="dxa"/>
              <w:bottom w:w="80" w:type="dxa"/>
              <w:right w:w="90" w:type="dxa"/>
            </w:tcMar>
            <w:vAlign w:val="center"/>
          </w:tcPr>
          <w:p w14:paraId="78EF7B4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Latency percentiles, throughput, queue lag, gas and recovery time.</w:t>
            </w:r>
          </w:p>
        </w:tc>
        <w:tc>
          <w:tcPr>
            <w:tcW w:w="1867" w:type="dxa"/>
            <w:shd w:val="clear" w:color="auto" w:fill="F3F6F9"/>
            <w:tcMar>
              <w:top w:w="80" w:type="dxa"/>
              <w:left w:w="90" w:type="dxa"/>
              <w:bottom w:w="80" w:type="dxa"/>
              <w:right w:w="90" w:type="dxa"/>
            </w:tcMar>
            <w:vAlign w:val="center"/>
          </w:tcPr>
          <w:p w14:paraId="1659B2D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Not captured in a controlled evidence bundle.</w:t>
            </w:r>
          </w:p>
        </w:tc>
        <w:tc>
          <w:tcPr>
            <w:tcW w:w="2520" w:type="dxa"/>
            <w:shd w:val="clear" w:color="auto" w:fill="F3F6F9"/>
            <w:tcMar>
              <w:top w:w="80" w:type="dxa"/>
              <w:left w:w="90" w:type="dxa"/>
              <w:bottom w:w="80" w:type="dxa"/>
              <w:right w:w="90" w:type="dxa"/>
            </w:tcMar>
            <w:vAlign w:val="center"/>
          </w:tcPr>
          <w:p w14:paraId="0A2E4CE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production scalability claim is made.</w:t>
            </w:r>
          </w:p>
        </w:tc>
      </w:tr>
    </w:tbl>
    <w:p w14:paraId="6534C5EB" w14:textId="77777777" w:rsidR="00FE2287" w:rsidRPr="00E4528F" w:rsidRDefault="00FE2287">
      <w:pPr>
        <w:spacing w:after="0"/>
        <w:rPr>
          <w:rFonts w:cs="Times New Roman"/>
          <w:color w:val="000000" w:themeColor="text1"/>
        </w:rPr>
      </w:pPr>
    </w:p>
    <w:p w14:paraId="3499AAD4" w14:textId="77777777" w:rsidR="00FE2287" w:rsidRPr="00E4528F" w:rsidRDefault="00000000">
      <w:pPr>
        <w:pStyle w:val="Heading2"/>
        <w:rPr>
          <w:rFonts w:ascii="Times New Roman" w:hAnsi="Times New Roman" w:cs="Times New Roman"/>
          <w:color w:val="000000" w:themeColor="text1"/>
          <w:sz w:val="32"/>
          <w:szCs w:val="32"/>
        </w:rPr>
      </w:pPr>
      <w:bookmarkStart w:id="36" w:name="bm_s3_9"/>
      <w:r w:rsidRPr="00E4528F">
        <w:rPr>
          <w:rFonts w:ascii="Times New Roman" w:hAnsi="Times New Roman" w:cs="Times New Roman"/>
          <w:color w:val="000000" w:themeColor="text1"/>
          <w:sz w:val="32"/>
          <w:szCs w:val="32"/>
        </w:rPr>
        <w:t>3.9 Ethics, privacy and validity</w:t>
      </w:r>
      <w:bookmarkEnd w:id="36"/>
    </w:p>
    <w:p w14:paraId="063B546C" w14:textId="186331C0" w:rsidR="00FE2287" w:rsidRPr="00E4528F" w:rsidRDefault="00000000">
      <w:pPr>
        <w:rPr>
          <w:rFonts w:cs="Times New Roman"/>
          <w:color w:val="000000" w:themeColor="text1"/>
        </w:rPr>
      </w:pPr>
      <w:r w:rsidRPr="00E4528F">
        <w:rPr>
          <w:rFonts w:cs="Times New Roman"/>
          <w:color w:val="000000" w:themeColor="text1"/>
        </w:rPr>
        <w:t xml:space="preserve">The study used synthetic claims and test-network addresses to avoid exposing real individuals during development. That safer choice weakens external validity. Synthetic generation can preserve some patterns, remove others and create an uncertain privacy–utility trade-off </w:t>
      </w:r>
      <w:sdt>
        <w:sdtPr>
          <w:rPr>
            <w:rFonts w:cs="Times New Roman"/>
            <w:color w:val="000000" w:themeColor="text1"/>
          </w:rPr>
          <w:id w:val="12000005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Sta22 \l 1033 </w:instrText>
          </w:r>
          <w:r w:rsidRPr="00E4528F">
            <w:rPr>
              <w:rFonts w:cs="Times New Roman"/>
              <w:color w:val="000000" w:themeColor="text1"/>
            </w:rPr>
            <w:fldChar w:fldCharType="separate"/>
          </w:r>
          <w:r w:rsidRPr="00E4528F">
            <w:rPr>
              <w:rFonts w:cs="Times New Roman"/>
              <w:noProof/>
              <w:color w:val="000000" w:themeColor="text1"/>
            </w:rPr>
            <w:t>(Stadler, Oprisanu and Troncoso, 2022)</w:t>
          </w:r>
          <w:r w:rsidRPr="00E4528F">
            <w:rPr>
              <w:rFonts w:cs="Times New Roman"/>
              <w:color w:val="000000" w:themeColor="text1"/>
            </w:rPr>
            <w:fldChar w:fldCharType="end"/>
          </w:r>
        </w:sdtContent>
      </w:sdt>
      <w:r w:rsidRPr="00E4528F">
        <w:rPr>
          <w:rFonts w:cs="Times New Roman"/>
          <w:color w:val="000000" w:themeColor="text1"/>
        </w:rPr>
        <w:t>. The labels may reflect generator rules rather than investigation outcomes, while geographic and incident variables may encode simplifications that would be unacceptable in customer treatment. For that reason, the dataset and model need explicit composition, intended-use and prohibited-use records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T</w:t>
      </w:r>
      <w:r w:rsidRPr="00E4528F">
        <w:rPr>
          <w:rFonts w:cs="Times New Roman"/>
          <w:color w:val="000000" w:themeColor="text1"/>
        </w:rPr>
        <w:t xml:space="preserve">he word ‘synthetic’ is not an assurance by itself </w:t>
      </w:r>
      <w:sdt>
        <w:sdtPr>
          <w:rPr>
            <w:rFonts w:cs="Times New Roman"/>
            <w:color w:val="000000" w:themeColor="text1"/>
          </w:rPr>
          <w:id w:val="12000005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Geb21 \l 1033  \m Tab23</w:instrText>
          </w:r>
          <w:r w:rsidRPr="00E4528F">
            <w:rPr>
              <w:rFonts w:cs="Times New Roman"/>
              <w:color w:val="000000" w:themeColor="text1"/>
            </w:rPr>
            <w:fldChar w:fldCharType="separate"/>
          </w:r>
          <w:r w:rsidRPr="00E4528F">
            <w:rPr>
              <w:rFonts w:cs="Times New Roman"/>
              <w:noProof/>
              <w:color w:val="000000" w:themeColor="text1"/>
            </w:rPr>
            <w:t>(Gebru et al., 2021; Tabassi, 2023)</w:t>
          </w:r>
          <w:r w:rsidRPr="00E4528F">
            <w:rPr>
              <w:rFonts w:cs="Times New Roman"/>
              <w:color w:val="000000" w:themeColor="text1"/>
            </w:rPr>
            <w:fldChar w:fldCharType="end"/>
          </w:r>
        </w:sdtContent>
      </w:sdt>
      <w:r w:rsidRPr="00E4528F">
        <w:rPr>
          <w:rFonts w:cs="Times New Roman"/>
          <w:color w:val="000000" w:themeColor="text1"/>
        </w:rPr>
        <w:t>. The results are reported as artifact evaluation, not as evidence that the model is fair or deployable.</w:t>
      </w:r>
      <w:r w:rsidRPr="00E4528F">
        <w:rPr>
          <w:rFonts w:cs="Times New Roman"/>
          <w:color w:val="000000" w:themeColor="text1"/>
        </w:rPr>
        <w:lastRenderedPageBreak/>
        <w:t/>
      </w:r>
    </w:p>
    <w:p w14:paraId="2D2258B3" w14:textId="68B03FD8" w:rsidR="00FE2287" w:rsidRPr="00E4528F" w:rsidRDefault="00000000">
      <w:pPr>
        <w:rPr>
          <w:rFonts w:cs="Times New Roman"/>
          <w:color w:val="000000" w:themeColor="text1"/>
        </w:rPr>
      </w:pPr>
      <w:r w:rsidRPr="00E4528F">
        <w:rPr>
          <w:rFonts w:cs="Times New Roman"/>
          <w:color w:val="000000" w:themeColor="text1"/>
        </w:rPr>
        <w:t xml:space="preserve">Privacy was addressed through separation and </w:t>
      </w:r>
      <w:r w:rsidR="001A6733">
        <w:rPr>
          <w:rFonts w:cs="Times New Roman"/>
          <w:color w:val="000000" w:themeColor="text1"/>
        </w:rPr>
        <w:t>minimisation.</w:t>
      </w:r>
      <w:r w:rsidRPr="00E4528F">
        <w:rPr>
          <w:rFonts w:cs="Times New Roman"/>
          <w:color w:val="000000" w:themeColor="text1"/>
        </w:rPr>
        <w:t xml:space="preserve"> </w:t>
      </w:r>
      <w:r w:rsidR="001A6733">
        <w:rPr>
          <w:rFonts w:cs="Times New Roman"/>
          <w:color w:val="000000" w:themeColor="text1"/>
        </w:rPr>
        <w:t>P</w:t>
      </w:r>
      <w:r w:rsidRPr="00E4528F">
        <w:rPr>
          <w:rFonts w:cs="Times New Roman"/>
          <w:color w:val="000000" w:themeColor="text1"/>
        </w:rPr>
        <w:t>rivate structured data is off-chain</w:t>
      </w:r>
      <w:r w:rsidR="001A6733">
        <w:rPr>
          <w:rFonts w:cs="Times New Roman"/>
          <w:color w:val="000000" w:themeColor="text1"/>
        </w:rPr>
        <w:t xml:space="preserve"> and</w:t>
      </w:r>
      <w:r w:rsidRPr="00E4528F">
        <w:rPr>
          <w:rFonts w:cs="Times New Roman"/>
          <w:color w:val="000000" w:themeColor="text1"/>
        </w:rPr>
        <w:t xml:space="preserve"> public state is bounded</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M</w:t>
      </w:r>
      <w:r w:rsidRPr="00E4528F">
        <w:rPr>
          <w:rFonts w:cs="Times New Roman"/>
          <w:color w:val="000000" w:themeColor="text1"/>
        </w:rPr>
        <w:t xml:space="preserve">odel features exclude free text and raw policy </w:t>
      </w:r>
      <w:r w:rsidR="001A6733" w:rsidRPr="00E4528F">
        <w:rPr>
          <w:rFonts w:cs="Times New Roman"/>
          <w:color w:val="000000" w:themeColor="text1"/>
        </w:rPr>
        <w:t>references</w:t>
      </w:r>
      <w:r w:rsidR="001A6733">
        <w:rPr>
          <w:rFonts w:cs="Times New Roman"/>
          <w:color w:val="000000" w:themeColor="text1"/>
        </w:rPr>
        <w:t>.</w:t>
      </w:r>
      <w:r w:rsidRPr="00E4528F">
        <w:rPr>
          <w:rFonts w:cs="Times New Roman"/>
          <w:color w:val="000000" w:themeColor="text1"/>
        </w:rPr>
        <w:t xml:space="preserve"> </w:t>
      </w:r>
      <w:r w:rsidR="001A6733">
        <w:rPr>
          <w:rFonts w:cs="Times New Roman"/>
          <w:color w:val="000000" w:themeColor="text1"/>
        </w:rPr>
        <w:t>D</w:t>
      </w:r>
      <w:r w:rsidRPr="00E4528F">
        <w:rPr>
          <w:rFonts w:cs="Times New Roman"/>
          <w:color w:val="000000" w:themeColor="text1"/>
        </w:rPr>
        <w:t xml:space="preserve">uplicate fingerprints are keyed and permitted research use is fictional data only. These controls do not complete a legal assessment. CIDs, hashes, addresses and transaction metadata may remain linkable, while public IPFS does not provide confidentiality by itself </w:t>
      </w:r>
      <w:sdt>
        <w:sdtPr>
          <w:rPr>
            <w:rFonts w:cs="Times New Roman"/>
            <w:color w:val="000000" w:themeColor="text1"/>
          </w:rPr>
          <w:id w:val="12000005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 xml:space="preserve">. A real deployment would require necessity and lawful-basis analysis, a DPIA where required, controller/processor allocation, access logging, retention and erasure procedures, encryption and controlled evidence storage </w:t>
      </w:r>
      <w:sdt>
        <w:sdtPr>
          <w:rPr>
            <w:rFonts w:cs="Times New Roman"/>
            <w:color w:val="000000" w:themeColor="text1"/>
          </w:rPr>
          <w:id w:val="12000005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19B19DFA" w14:textId="0F33A77D" w:rsidR="00FE2287" w:rsidRPr="00E4528F" w:rsidRDefault="00000000">
      <w:pPr>
        <w:rPr>
          <w:rFonts w:cs="Times New Roman"/>
          <w:color w:val="000000" w:themeColor="text1"/>
        </w:rPr>
      </w:pPr>
      <w:r w:rsidRPr="00E4528F">
        <w:rPr>
          <w:rFonts w:cs="Times New Roman"/>
          <w:color w:val="000000" w:themeColor="text1"/>
        </w:rPr>
        <w:t>Internal validity is strengthened by a fixed data hash, chronological partitions, an untouched test set, exact metric metadata and automated verification. Construct validity is limited because fraud labels and predictive metrics stand in for investigative utility. External validity is limited by one synthetic motor dataset, one test network and one deployment. Reliability is strengthened by versioned artifacts, although independent reproduction has not occurred</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urrent ML reproducibility guidance expects data provenance, dependencies, metric definitions and executable procedures </w:t>
      </w:r>
      <w:sdt>
        <w:sdtPr>
          <w:rPr>
            <w:rFonts w:cs="Times New Roman"/>
            <w:color w:val="000000" w:themeColor="text1"/>
          </w:rPr>
          <w:id w:val="12000005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Pin21 \l 1033 </w:instrText>
          </w:r>
          <w:r w:rsidRPr="00E4528F">
            <w:rPr>
              <w:rFonts w:cs="Times New Roman"/>
              <w:color w:val="000000" w:themeColor="text1"/>
            </w:rPr>
            <w:fldChar w:fldCharType="separate"/>
          </w:r>
          <w:r w:rsidRPr="00E4528F">
            <w:rPr>
              <w:rFonts w:cs="Times New Roman"/>
              <w:noProof/>
              <w:color w:val="000000" w:themeColor="text1"/>
            </w:rPr>
            <w:t>(Pineau et al., 2021)</w:t>
          </w:r>
          <w:r w:rsidRPr="00E4528F">
            <w:rPr>
              <w:rFonts w:cs="Times New Roman"/>
              <w:color w:val="000000" w:themeColor="text1"/>
            </w:rPr>
            <w:fldChar w:fldCharType="end"/>
          </w:r>
        </w:sdtContent>
      </w:sdt>
      <w:r w:rsidRPr="00E4528F">
        <w:rPr>
          <w:rFonts w:cs="Times New Roman"/>
          <w:color w:val="000000" w:themeColor="text1"/>
        </w:rPr>
        <w:t>.</w:t>
      </w:r>
    </w:p>
    <w:p w14:paraId="4E063638" w14:textId="77777777" w:rsidR="00FE2287" w:rsidRPr="00E4528F" w:rsidRDefault="00000000">
      <w:pPr>
        <w:pStyle w:val="Heading1"/>
        <w:pageBreakBefore/>
        <w:rPr>
          <w:rFonts w:ascii="Times New Roman" w:hAnsi="Times New Roman" w:cs="Times New Roman"/>
          <w:color w:val="000000" w:themeColor="text1"/>
          <w:sz w:val="40"/>
          <w:szCs w:val="40"/>
        </w:rPr>
      </w:pPr>
      <w:bookmarkStart w:id="37" w:name="bm_ch4"/>
      <w:r w:rsidRPr="00E4528F">
        <w:rPr>
          <w:rFonts w:ascii="Times New Roman" w:hAnsi="Times New Roman" w:cs="Times New Roman"/>
          <w:color w:val="000000" w:themeColor="text1"/>
          <w:sz w:val="40"/>
          <w:szCs w:val="40"/>
        </w:rPr>
        <w:lastRenderedPageBreak/>
        <w:t>Chapter 4: Implementation</w:t>
      </w:r>
      <w:bookmarkEnd w:id="37"/>
    </w:p>
    <w:p w14:paraId="5F5AD73C" w14:textId="77777777" w:rsidR="00FE2287" w:rsidRPr="00E4528F" w:rsidRDefault="00000000">
      <w:pPr>
        <w:rPr>
          <w:rFonts w:cs="Times New Roman"/>
          <w:color w:val="000000" w:themeColor="text1"/>
        </w:rPr>
      </w:pPr>
      <w:r>
        <w:rPr>
          <w:rFonts w:cs="Times New Roman"/>
          <w:color w:val="000000" w:themeColor="text1"/>
        </w:rPr>
        <w:t>This chapter describes the implemented and verified system. The predictive experiment is reported separately in Chapter 5 so that the architecture, software evidence and interpretation remain distinguishable. The repository is a multi-service research artifact, not a production insurance platform. The main branch contains a React claims application and separate assessor console, FastAPI services for wallet sessions, policy eligibility, permits, relaying and assessor outcomes, PostgreSQL, a Sepolia registry and forwarder, public IPFS, a listener, Kafka and a Python scoring worker.</w:t>
      </w:r>
    </w:p>
    <w:p w14:paraId="3B001148" w14:textId="77777777" w:rsidR="00FE2287" w:rsidRPr="00E4528F" w:rsidRDefault="00000000">
      <w:pPr>
        <w:pStyle w:val="Heading2"/>
        <w:rPr>
          <w:rFonts w:ascii="Times New Roman" w:hAnsi="Times New Roman" w:cs="Times New Roman"/>
          <w:color w:val="000000" w:themeColor="text1"/>
          <w:sz w:val="32"/>
          <w:szCs w:val="32"/>
        </w:rPr>
      </w:pPr>
      <w:bookmarkStart w:id="38" w:name="bm_s4_1"/>
      <w:r w:rsidRPr="00E4528F">
        <w:rPr>
          <w:rFonts w:ascii="Times New Roman" w:hAnsi="Times New Roman" w:cs="Times New Roman"/>
          <w:color w:val="000000" w:themeColor="text1"/>
          <w:sz w:val="32"/>
          <w:szCs w:val="32"/>
        </w:rPr>
        <w:t>4.1 Prototype implementation</w:t>
      </w:r>
      <w:bookmarkEnd w:id="38"/>
    </w:p>
    <w:p w14:paraId="0CA3D3FF" w14:textId="77777777" w:rsidR="00FE2287" w:rsidRPr="00E4528F" w:rsidRDefault="00000000">
      <w:pPr>
        <w:rPr>
          <w:rFonts w:cs="Times New Roman"/>
          <w:color w:val="000000" w:themeColor="text1"/>
        </w:rPr>
      </w:pPr>
      <w:r>
        <w:rPr>
          <w:rFonts w:cs="Times New Roman"/>
          <w:color w:val="000000" w:themeColor="text1"/>
        </w:rPr>
        <w:t xml:space="preserve">The browser does not receive an insurer private key. It signs a readable one-time authentication challenge, then submits policy and incident facts through a short-lived wallet session. The backend policy adapter checks eligibility before an insurer-authorised component signs a single-use ClaimPermit. The claimant or authorised representative signs the exact ERC-2771 request, and an isolated relayer pays test-network gas after verifying both signatures. The registry checks the trusted forwarder, permit issuer, scope, nonce and expiry. This composite design separates identity, policy authority, claimant intent and fee payment. Replay resistance and the relayer relationship therefore arise from the surrounding protocol, not from EIP-712 by itself. </w:t>
      </w:r>
      <w:sdt>
        <w:sdtPr>
          <w:rPr>
            <w:rFonts w:cs="Times New Roman"/>
            <w:color w:val="000000" w:themeColor="text1"/>
          </w:rPr>
          <w:id w:val="12000005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04089324" w14:textId="12F0CB73" w:rsidR="00FE2287" w:rsidRPr="00E4528F" w:rsidRDefault="00000000">
      <w:pPr>
        <w:rPr>
          <w:rFonts w:cs="Times New Roman"/>
          <w:color w:val="000000" w:themeColor="text1"/>
        </w:rPr>
      </w:pPr>
      <w:r w:rsidRPr="00E4528F">
        <w:rPr>
          <w:rFonts w:cs="Times New Roman"/>
          <w:color w:val="000000" w:themeColor="text1"/>
        </w:rPr>
        <w:t xml:space="preserve">The public record is intentionally small: an identifier, authorised address, content commitment, lifecycle state and assessment metadata. Full fictional evidence remains off-chain. An IPFS content identifier makes a byte sequence verifiable, but content addressing does not supply access control, confidentiality or guaranteed retention. Network measurements show that IPFS is a decentralised retrieval layer with availability and replication </w:t>
      </w:r>
      <w:proofErr w:type="spellStart"/>
      <w:r w:rsidRPr="00E4528F">
        <w:rPr>
          <w:rFonts w:cs="Times New Roman"/>
          <w:color w:val="000000" w:themeColor="text1"/>
        </w:rPr>
        <w:t>behaviour</w:t>
      </w:r>
      <w:proofErr w:type="spellEnd"/>
      <w:r w:rsidRPr="00E4528F">
        <w:rPr>
          <w:rFonts w:cs="Times New Roman"/>
          <w:color w:val="000000" w:themeColor="text1"/>
        </w:rPr>
        <w:t xml:space="preserve"> of its own privacy-oriented designs therefore add controlled peers, encryption or cryptographic access mechanisms </w:t>
      </w:r>
      <w:sdt>
        <w:sdtPr>
          <w:rPr>
            <w:rFonts w:cs="Times New Roman"/>
            <w:color w:val="000000" w:themeColor="text1"/>
          </w:rPr>
          <w:id w:val="12000005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 The prototype is suitable for synthetic demonstrations, not for publishing real claim evidence on public IPFS.</w:t>
      </w:r>
    </w:p>
    <w:p w14:paraId="580173B7" w14:textId="77777777" w:rsidR="00FE2287" w:rsidRPr="00E4528F" w:rsidRDefault="00000000">
      <w:pPr>
        <w:rPr>
          <w:rFonts w:cs="Times New Roman"/>
          <w:color w:val="000000" w:themeColor="text1"/>
        </w:rPr>
      </w:pPr>
      <w:r w:rsidRPr="00E4528F">
        <w:rPr>
          <w:rFonts w:cs="Times New Roman"/>
          <w:color w:val="000000" w:themeColor="text1"/>
        </w:rPr>
        <w:lastRenderedPageBreak/>
        <w:t>Two failures found during implementation changed the design. First, the listener checkpoint now moves only after the block range is stored and publication is acknowledged. Second, the worker retries temporary infrastructure failures, but it handles a permanent malformed input differently. It writes a small rejection record before moving the offset. If that write fails, the offset is not committed. These rules accept at-least-once delivery and use stable identifiers, stored outcomes and idempotent side effects to make repeats safe. Kafka transactions do not automatically include PostgreSQL, IPFS or blockchain writes, so the application must handle those effects.</w:t>
      </w:r>
    </w:p>
    <w:p w14:paraId="4AC110B1" w14:textId="77777777" w:rsidR="00FE2287" w:rsidRPr="00E4528F" w:rsidRDefault="00000000">
      <w:pPr>
        <w:rPr>
          <w:rFonts w:cs="Times New Roman"/>
          <w:color w:val="000000" w:themeColor="text1"/>
        </w:rPr>
      </w:pPr>
      <w:r w:rsidRPr="00E4528F">
        <w:rPr>
          <w:rFonts w:cs="Times New Roman"/>
          <w:color w:val="000000" w:themeColor="text1"/>
        </w:rPr>
        <w:t xml:space="preserve">The architecture in Figure 3.1 shows three trust regions: the user-facing client, the privately operated insurer services and the public Sepolia network. A public anchor can show that a commitment and state transition existed, but it cannot prove that the submitted information was true. Nor does a content hash remove controller obligations for linkable personal data. Final European guidance therefore favours data minimisation and off-chain handling where blockchain immutability conflicts with correction or erasure duties </w:t>
      </w:r>
      <w:sdt>
        <w:sdtPr>
          <w:rPr>
            <w:rFonts w:cs="Times New Roman"/>
            <w:color w:val="000000" w:themeColor="text1"/>
          </w:rPr>
          <w:id w:val="12000005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BAA2EA4" w14:textId="77777777" w:rsidR="00FE2287" w:rsidRPr="00E4528F" w:rsidRDefault="00000000">
      <w:pPr>
        <w:pStyle w:val="Heading2"/>
        <w:rPr>
          <w:rFonts w:ascii="Times New Roman" w:hAnsi="Times New Roman" w:cs="Times New Roman"/>
          <w:color w:val="000000" w:themeColor="text1"/>
          <w:sz w:val="32"/>
          <w:szCs w:val="32"/>
        </w:rPr>
      </w:pPr>
      <w:bookmarkStart w:id="39" w:name="bm_s4_2"/>
      <w:r w:rsidRPr="00E4528F">
        <w:rPr>
          <w:rFonts w:ascii="Times New Roman" w:hAnsi="Times New Roman" w:cs="Times New Roman"/>
          <w:color w:val="000000" w:themeColor="text1"/>
          <w:sz w:val="32"/>
          <w:szCs w:val="32"/>
        </w:rPr>
        <w:t>4.2 Data and model implementation</w:t>
      </w:r>
      <w:bookmarkEnd w:id="39"/>
    </w:p>
    <w:p w14:paraId="7ACC2955" w14:textId="77777777" w:rsidR="00FE2287" w:rsidRPr="00E4528F" w:rsidRDefault="00000000">
      <w:pPr>
        <w:rPr>
          <w:rFonts w:cs="Times New Roman"/>
          <w:color w:val="000000" w:themeColor="text1"/>
        </w:rPr>
      </w:pPr>
      <w:r w:rsidRPr="00E4528F">
        <w:rPr>
          <w:rFonts w:cs="Times New Roman"/>
          <w:color w:val="000000" w:themeColor="text1"/>
        </w:rPr>
        <w:t xml:space="preserve">The saved model record pins the synthetic dataset revision, prepared-file SHA-256 digest, chronological split, feature list, preprocessing pipeline and model hash. Ten submission-time inputs are retained: six numerical and four categorical. Settlement amount, settlement ratio, processing duration, generator fraud probability, loss-ratio outputs and scenario markers are excluded because they arise after the intended decision or disclose how the synthetic label was produced. This decision follows the temporal availability test for leakage: a feature is admissible only if it would exist at claim submission </w:t>
      </w:r>
      <w:sdt>
        <w:sdtPr>
          <w:rPr>
            <w:rFonts w:cs="Times New Roman"/>
            <w:color w:val="000000" w:themeColor="text1"/>
          </w:rPr>
          <w:id w:val="12000005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055AA755" w14:textId="77777777" w:rsidR="00FE2287" w:rsidRPr="00E4528F" w:rsidRDefault="00000000">
      <w:pPr>
        <w:rPr>
          <w:rFonts w:cs="Times New Roman"/>
          <w:color w:val="000000" w:themeColor="text1"/>
        </w:rPr>
      </w:pPr>
      <w:r w:rsidRPr="00E4528F">
        <w:rPr>
          <w:rFonts w:cs="Times New Roman"/>
          <w:color w:val="000000" w:themeColor="text1"/>
        </w:rPr>
        <w:t xml:space="preserve">The revised experiment keeps the original logistic regression and deployed XGBoost model, and adds a 24-trial randomised search. The search covers tree depth, learning rate, number of estimators, child weight, sampling, regularisation and class weighting. Model fitting used the training period; PR-AUC and the operating threshold were selected on validation data; and the chronological test period was used once. Random search and paired resampling were used because model selection and uncertainty are part of the experiment, </w:t>
      </w:r>
      <w:r w:rsidRPr="00E4528F">
        <w:rPr>
          <w:rFonts w:cs="Times New Roman"/>
          <w:color w:val="000000" w:themeColor="text1"/>
        </w:rPr>
        <w:lastRenderedPageBreak/>
        <w:t xml:space="preserve">not additions made after seeing the result </w:t>
      </w:r>
      <w:sdt>
        <w:sdtPr>
          <w:rPr>
            <w:rFonts w:cs="Times New Roman"/>
            <w:color w:val="000000" w:themeColor="text1"/>
          </w:rPr>
          <w:id w:val="12000005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Pfo22 \l 1033 </w:instrText>
          </w:r>
          <w:r w:rsidRPr="00E4528F">
            <w:rPr>
              <w:rFonts w:cs="Times New Roman"/>
              <w:color w:val="000000" w:themeColor="text1"/>
            </w:rPr>
            <w:fldChar w:fldCharType="separate"/>
          </w:r>
          <w:r w:rsidRPr="00E4528F">
            <w:rPr>
              <w:rFonts w:cs="Times New Roman"/>
              <w:noProof/>
              <w:color w:val="000000" w:themeColor="text1"/>
            </w:rPr>
            <w:t>(Pfob, Lu and Sidey-Gibbons, 2022)</w:t>
          </w:r>
          <w:r w:rsidRPr="00E4528F">
            <w:rPr>
              <w:rFonts w:cs="Times New Roman"/>
              <w:color w:val="000000" w:themeColor="text1"/>
            </w:rPr>
            <w:fldChar w:fldCharType="end"/>
          </w:r>
        </w:sdtContent>
      </w:sdt>
      <w:r w:rsidRPr="00E4528F">
        <w:rPr>
          <w:rFonts w:cs="Times New Roman"/>
          <w:color w:val="000000" w:themeColor="text1"/>
        </w:rPr>
        <w:t>. Appendix D records the reported seed, parameters and outputs.</w:t>
      </w:r>
    </w:p>
    <w:p w14:paraId="01D20854" w14:textId="77777777" w:rsidR="00FE2287" w:rsidRPr="00E4528F" w:rsidRDefault="00000000">
      <w:pPr>
        <w:pStyle w:val="Heading2"/>
        <w:rPr>
          <w:rFonts w:ascii="Times New Roman" w:hAnsi="Times New Roman" w:cs="Times New Roman"/>
          <w:color w:val="000000" w:themeColor="text1"/>
          <w:sz w:val="32"/>
          <w:szCs w:val="32"/>
        </w:rPr>
      </w:pPr>
      <w:bookmarkStart w:id="40" w:name="bm_s4_3"/>
      <w:r w:rsidRPr="00E4528F">
        <w:rPr>
          <w:rFonts w:ascii="Times New Roman" w:hAnsi="Times New Roman" w:cs="Times New Roman"/>
          <w:color w:val="000000" w:themeColor="text1"/>
          <w:sz w:val="32"/>
          <w:szCs w:val="32"/>
        </w:rPr>
        <w:t>4.3 Explainability and review support</w:t>
      </w:r>
      <w:bookmarkEnd w:id="40"/>
    </w:p>
    <w:p w14:paraId="71962494" w14:textId="731F606A" w:rsidR="00FE2287" w:rsidRPr="00E4528F" w:rsidRDefault="00000000">
      <w:pPr>
        <w:rPr>
          <w:rFonts w:cs="Times New Roman"/>
          <w:color w:val="000000" w:themeColor="text1"/>
        </w:rPr>
      </w:pPr>
      <w:r w:rsidRPr="00E4528F">
        <w:rPr>
          <w:rFonts w:cs="Times New Roman"/>
          <w:color w:val="000000" w:themeColor="text1"/>
        </w:rPr>
        <w:t>The worker returns a score, thresholded status, model version and local SHAP contributions. Figure 4.1 shows the saved global summary. Claim frequency is the largest average driver, followed by theft-related incident information, premium, country, vehicle age and claim amount. These values describe the fitted model</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T</w:t>
      </w:r>
      <w:r w:rsidRPr="00E4528F">
        <w:rPr>
          <w:rFonts w:cs="Times New Roman"/>
          <w:color w:val="000000" w:themeColor="text1"/>
        </w:rPr>
        <w:t xml:space="preserve">hey do not show that a feature caused fraud. The prominent country contribution motivated the subgroup audit in Section 5.4 rather than an operational rule </w:t>
      </w:r>
      <w:sdt>
        <w:sdtPr>
          <w:rPr>
            <w:rFonts w:cs="Times New Roman"/>
            <w:color w:val="000000" w:themeColor="text1"/>
          </w:rPr>
          <w:id w:val="12000006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Bro21 \l 1033  \m Phi21</w:instrText>
          </w:r>
          <w:r w:rsidRPr="00E4528F">
            <w:rPr>
              <w:rFonts w:cs="Times New Roman"/>
              <w:color w:val="000000" w:themeColor="text1"/>
            </w:rPr>
            <w:fldChar w:fldCharType="separate"/>
          </w:r>
          <w:r w:rsidRPr="00E4528F">
            <w:rPr>
              <w:rFonts w:cs="Times New Roman"/>
              <w:noProof/>
              <w:color w:val="000000" w:themeColor="text1"/>
            </w:rPr>
            <w:t>(Broniatowski, 2021; Phillips et al., 2021)</w:t>
          </w:r>
          <w:r w:rsidRPr="00E4528F">
            <w:rPr>
              <w:rFonts w:cs="Times New Roman"/>
              <w:color w:val="000000" w:themeColor="text1"/>
            </w:rPr>
            <w:fldChar w:fldCharType="end"/>
          </w:r>
        </w:sdtContent>
      </w:sdt>
      <w:r w:rsidRPr="00E4528F">
        <w:rPr>
          <w:rFonts w:cs="Times New Roman"/>
          <w:color w:val="000000" w:themeColor="text1"/>
        </w:rPr>
        <w:t>.</w:t>
      </w:r>
    </w:p>
    <w:p w14:paraId="28062619"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42269266" wp14:editId="5CCB24BA">
            <wp:extent cx="5303520" cy="4928566"/>
            <wp:effectExtent l="0" t="0" r="0" b="0"/>
            <wp:docPr id="4" name="Picture 4" descr="SHAP beeswarm summary ranking features by mean absolute contribution, led by claim frequency and theft-related indicators; country is also prominent and is examined through subgroup error rates in Chapter 5." title="Figure 4.1. SHAP summary for the integrated XGBoos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summary.png"/>
                    <pic:cNvPicPr/>
                  </pic:nvPicPr>
                  <pic:blipFill>
                    <a:blip r:embed="rId15"/>
                    <a:stretch>
                      <a:fillRect/>
                    </a:stretch>
                  </pic:blipFill>
                  <pic:spPr>
                    <a:xfrm>
                      <a:off x="0" y="0"/>
                      <a:ext cx="5303520" cy="4928566"/>
                    </a:xfrm>
                    <a:prstGeom prst="rect">
                      <a:avLst/>
                    </a:prstGeom>
                  </pic:spPr>
                </pic:pic>
              </a:graphicData>
            </a:graphic>
          </wp:inline>
        </w:drawing>
      </w:r>
    </w:p>
    <w:p w14:paraId="0EF05FE2" w14:textId="77777777" w:rsidR="00FE2287" w:rsidRPr="00E4528F" w:rsidRDefault="00000000" w:rsidP="00C76C0C">
      <w:pPr>
        <w:pStyle w:val="Caption"/>
        <w:rPr>
          <w:rFonts w:cs="Times New Roman"/>
          <w:color w:val="000000" w:themeColor="text1"/>
        </w:rPr>
      </w:pPr>
      <w:bookmarkStart w:id="41" w:name="bm_fig_shap"/>
      <w:r w:rsidRPr="00E4528F">
        <w:rPr>
          <w:rFonts w:cs="Times New Roman"/>
          <w:color w:val="000000" w:themeColor="text1"/>
        </w:rPr>
        <w:t>Figure 4.1. SHAP summary for the integrated XGBoost artifact</w:t>
      </w:r>
      <w:bookmarkEnd w:id="41"/>
    </w:p>
    <w:p w14:paraId="369B0990" w14:textId="3AB9B359" w:rsidR="00FE2287" w:rsidRPr="00E4528F" w:rsidRDefault="00000000">
      <w:pPr>
        <w:rPr>
          <w:rFonts w:cs="Times New Roman"/>
          <w:color w:val="000000" w:themeColor="text1"/>
        </w:rPr>
      </w:pPr>
      <w:r>
        <w:rPr>
          <w:rFonts w:cs="Times New Roman"/>
          <w:color w:val="000000" w:themeColor="text1"/>
        </w:rPr>
        <w:lastRenderedPageBreak/>
        <w:t xml:space="preserve">Reviewers need the feature meaning, base rate, model and threshold version, provenance and uncertainty alongside any attribution. The claims interface therefore presents the score as triage evidence. A separate console uses an independent digest-only API key and records ConfirmedFraud, Legitimate or Inconclusive as append-only PostgreSQL revisions corrections never overwrite history. These outcomes do not approve or reject a claim, alter Sepolia state or retrain the model, and Inconclusive is excluded from binary-label eligibility. Production use would still require enterprise identity, controlled evidence access, supervision and a contest procedure. </w:t>
      </w:r>
      <w:sdt>
        <w:sdtPr>
          <w:rPr>
            <w:rFonts w:cs="Times New Roman"/>
            <w:color w:val="000000" w:themeColor="text1"/>
          </w:rPr>
          <w:id w:val="12000006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Her22 \l 1033  \m Tab23</w:instrText>
          </w:r>
          <w:r w:rsidRPr="00E4528F">
            <w:rPr>
              <w:rFonts w:cs="Times New Roman"/>
              <w:color w:val="000000" w:themeColor="text1"/>
            </w:rPr>
            <w:fldChar w:fldCharType="separate"/>
          </w:r>
          <w:r w:rsidRPr="00E4528F">
            <w:rPr>
              <w:rFonts w:cs="Times New Roman"/>
              <w:noProof/>
              <w:color w:val="000000" w:themeColor="text1"/>
            </w:rPr>
            <w:t>(Herm et al., 2022; Tabassi, 2023)</w:t>
          </w:r>
          <w:r w:rsidRPr="00E4528F">
            <w:rPr>
              <w:rFonts w:cs="Times New Roman"/>
              <w:color w:val="000000" w:themeColor="text1"/>
            </w:rPr>
            <w:fldChar w:fldCharType="end"/>
          </w:r>
        </w:sdtContent>
      </w:sdt>
    </w:p>
    <w:p w14:paraId="74CAB672" w14:textId="77777777" w:rsidR="00FE2287" w:rsidRPr="00E4528F" w:rsidRDefault="00000000">
      <w:pPr>
        <w:pStyle w:val="Heading2"/>
        <w:rPr>
          <w:rFonts w:ascii="Times New Roman" w:hAnsi="Times New Roman" w:cs="Times New Roman"/>
          <w:color w:val="000000" w:themeColor="text1"/>
          <w:sz w:val="32"/>
          <w:szCs w:val="32"/>
        </w:rPr>
      </w:pPr>
      <w:bookmarkStart w:id="42" w:name="bm_s4_4"/>
      <w:r w:rsidRPr="00E4528F">
        <w:rPr>
          <w:rFonts w:ascii="Times New Roman" w:hAnsi="Times New Roman" w:cs="Times New Roman"/>
          <w:color w:val="000000" w:themeColor="text1"/>
          <w:sz w:val="32"/>
          <w:szCs w:val="32"/>
        </w:rPr>
        <w:t>4.4 Software verification</w:t>
      </w:r>
      <w:bookmarkEnd w:id="42"/>
    </w:p>
    <w:p w14:paraId="1FC62B27" w14:textId="5B82A398" w:rsidR="00FE2287" w:rsidRPr="00E4528F" w:rsidRDefault="00000000">
      <w:pPr>
        <w:rPr>
          <w:rFonts w:cs="Times New Roman"/>
          <w:color w:val="000000" w:themeColor="text1"/>
        </w:rPr>
      </w:pPr>
      <w:r>
        <w:rPr>
          <w:rFonts w:cs="Times New Roman"/>
          <w:color w:val="000000" w:themeColor="text1"/>
        </w:rPr>
        <w:t xml:space="preserve">The isolated suites passed 310 behavioural checks: 232 Python, 34 frontend, 42 contract and two Playwright tests. Eight infrastructure-backed Python tests were deselected and four warnings were reported. The contract total comprised 25 Solidity and 17 Node.js checks, including 256-run fuzz cases. Ruff, frontend lint and the production build passed. Branch-aware Python coverage was 74.71%, however, so the configured 75% gate failed by 0.29 percentage points. This evidence remains incomplete without infrastructure validation, independent security assessment and operational assurance. </w:t>
      </w:r>
      <w:sdt>
        <w:sdtPr>
          <w:rPr>
            <w:rFonts w:cs="Times New Roman"/>
            <w:color w:val="000000" w:themeColor="text1"/>
          </w:rPr>
          <w:id w:val="12000006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p>
    <w:p w14:paraId="107234B0" w14:textId="77777777" w:rsidR="00FE2287" w:rsidRPr="00E4528F" w:rsidRDefault="00000000" w:rsidP="00C76C0C">
      <w:pPr>
        <w:pStyle w:val="Caption"/>
        <w:rPr>
          <w:rFonts w:cs="Times New Roman"/>
          <w:color w:val="000000" w:themeColor="text1"/>
        </w:rPr>
      </w:pPr>
      <w:bookmarkStart w:id="43" w:name="bm_tab_tests"/>
      <w:r w:rsidRPr="00E4528F">
        <w:rPr>
          <w:rFonts w:cs="Times New Roman"/>
          <w:color w:val="000000" w:themeColor="text1"/>
        </w:rPr>
        <w:t>Table 4.1. Executed software verification evidence</w:t>
      </w:r>
      <w:bookmarkEnd w:id="43"/>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2952"/>
        <w:gridCol w:w="1490"/>
        <w:gridCol w:w="2686"/>
      </w:tblGrid>
      <w:tr w:rsidR="00FE2287" w:rsidRPr="00E4528F" w14:paraId="350BA14C" w14:textId="77777777" w:rsidTr="00C74B7B">
        <w:trPr>
          <w:cantSplit/>
          <w:trHeight w:val="389"/>
          <w:tblHeader/>
          <w:jc w:val="center"/>
        </w:trPr>
        <w:tc>
          <w:tcPr>
            <w:tcW w:w="1512" w:type="dxa"/>
            <w:shd w:val="clear" w:color="auto" w:fill="17365D"/>
            <w:tcMar>
              <w:top w:w="80" w:type="dxa"/>
              <w:left w:w="90" w:type="dxa"/>
              <w:bottom w:w="80" w:type="dxa"/>
              <w:right w:w="90" w:type="dxa"/>
            </w:tcMar>
            <w:vAlign w:val="center"/>
          </w:tcPr>
          <w:p w14:paraId="085BFC4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Layer</w:t>
            </w:r>
          </w:p>
        </w:tc>
        <w:tc>
          <w:tcPr>
            <w:tcW w:w="2952" w:type="dxa"/>
            <w:shd w:val="clear" w:color="auto" w:fill="17365D"/>
            <w:tcMar>
              <w:top w:w="80" w:type="dxa"/>
              <w:left w:w="90" w:type="dxa"/>
              <w:bottom w:w="80" w:type="dxa"/>
              <w:right w:w="90" w:type="dxa"/>
            </w:tcMar>
            <w:vAlign w:val="center"/>
          </w:tcPr>
          <w:p w14:paraId="4BEA46C6"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Executed evidence</w:t>
            </w:r>
          </w:p>
        </w:tc>
        <w:tc>
          <w:tcPr>
            <w:tcW w:w="1490" w:type="dxa"/>
            <w:shd w:val="clear" w:color="auto" w:fill="17365D"/>
            <w:tcMar>
              <w:top w:w="80" w:type="dxa"/>
              <w:left w:w="90" w:type="dxa"/>
              <w:bottom w:w="80" w:type="dxa"/>
              <w:right w:w="90" w:type="dxa"/>
            </w:tcMar>
            <w:vAlign w:val="center"/>
          </w:tcPr>
          <w:p w14:paraId="75A9F3FE"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Result</w:t>
            </w:r>
          </w:p>
        </w:tc>
        <w:tc>
          <w:tcPr>
            <w:tcW w:w="2686" w:type="dxa"/>
            <w:shd w:val="clear" w:color="auto" w:fill="17365D"/>
            <w:tcMar>
              <w:top w:w="80" w:type="dxa"/>
              <w:left w:w="90" w:type="dxa"/>
              <w:bottom w:w="80" w:type="dxa"/>
              <w:right w:w="90" w:type="dxa"/>
            </w:tcMar>
            <w:vAlign w:val="center"/>
          </w:tcPr>
          <w:p w14:paraId="14023DD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Boundary</w:t>
            </w:r>
          </w:p>
        </w:tc>
      </w:tr>
      <w:tr w:rsidR="00FE2287" w:rsidRPr="00E4528F" w14:paraId="0C30413F" w14:textId="77777777" w:rsidTr="00C74B7B">
        <w:trPr>
          <w:cantSplit/>
          <w:jc w:val="center"/>
        </w:trPr>
        <w:tc>
          <w:tcPr>
            <w:tcW w:w="1512" w:type="dxa"/>
            <w:tcMar>
              <w:top w:w="80" w:type="dxa"/>
              <w:left w:w="90" w:type="dxa"/>
              <w:bottom w:w="80" w:type="dxa"/>
              <w:right w:w="90" w:type="dxa"/>
            </w:tcMar>
            <w:vAlign w:val="center"/>
          </w:tcPr>
          <w:p w14:paraId="1A37B6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services</w:t>
            </w:r>
          </w:p>
        </w:tc>
        <w:tc>
          <w:tcPr>
            <w:tcW w:w="2952" w:type="dxa"/>
            <w:tcMar>
              <w:top w:w="80" w:type="dxa"/>
              <w:left w:w="90" w:type="dxa"/>
              <w:bottom w:w="80" w:type="dxa"/>
              <w:right w:w="90" w:type="dxa"/>
            </w:tcMar>
            <w:vAlign w:val="center"/>
          </w:tcPr>
          <w:p w14:paraId="66718587"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pytest excluding infrastructure-backed tests</w:t>
            </w:r>
          </w:p>
        </w:tc>
        <w:tc>
          <w:tcPr>
            <w:tcW w:w="1490" w:type="dxa"/>
            <w:tcMar>
              <w:top w:w="80" w:type="dxa"/>
              <w:left w:w="90" w:type="dxa"/>
              <w:bottom w:w="80" w:type="dxa"/>
              <w:right w:w="90" w:type="dxa"/>
            </w:tcMar>
            <w:vAlign w:val="center"/>
          </w:tcPr>
          <w:p w14:paraId="2C1C674F" w14:textId="05402858" w:rsidR="00FE2287" w:rsidRPr="00E4528F" w:rsidRDefault="00000000">
            <w:pPr>
              <w:spacing w:after="0" w:line="240" w:lineRule="auto"/>
              <w:rPr>
                <w:rFonts w:cs="Times New Roman"/>
                <w:color w:val="000000" w:themeColor="text1"/>
              </w:rPr>
            </w:pPr>
            <w:r>
              <w:rPr>
                <w:rFonts w:cs="Times New Roman"/>
                <w:color w:val="000000" w:themeColor="text1"/>
                <w:sz w:val="16"/>
              </w:rPr>
              <w:t>232 passed, 8 deselected</w:t>
            </w:r>
          </w:p>
        </w:tc>
        <w:tc>
          <w:tcPr>
            <w:tcW w:w="2686" w:type="dxa"/>
            <w:tcMar>
              <w:top w:w="80" w:type="dxa"/>
              <w:left w:w="90" w:type="dxa"/>
              <w:bottom w:w="80" w:type="dxa"/>
              <w:right w:w="90" w:type="dxa"/>
            </w:tcMar>
            <w:vAlign w:val="center"/>
          </w:tcPr>
          <w:p w14:paraId="58B3FE51" w14:textId="0F544BDB" w:rsidR="00FE2287" w:rsidRPr="00E4528F" w:rsidRDefault="00000000">
            <w:pPr>
              <w:spacing w:after="0" w:line="240" w:lineRule="auto"/>
              <w:rPr>
                <w:rFonts w:cs="Times New Roman"/>
                <w:color w:val="000000" w:themeColor="text1"/>
              </w:rPr>
            </w:pPr>
            <w:r>
              <w:rPr>
                <w:rFonts w:cs="Times New Roman"/>
                <w:color w:val="000000" w:themeColor="text1"/>
                <w:sz w:val="16"/>
              </w:rPr>
              <w:t>74.71% branch-aware coverage; four warnings; configured gate failed.</w:t>
            </w:r>
          </w:p>
        </w:tc>
      </w:tr>
      <w:tr w:rsidR="00FE2287" w:rsidRPr="00E4528F" w14:paraId="70E1FC5A" w14:textId="77777777" w:rsidTr="00C74B7B">
        <w:trPr>
          <w:cantSplit/>
          <w:jc w:val="center"/>
        </w:trPr>
        <w:tc>
          <w:tcPr>
            <w:tcW w:w="1512" w:type="dxa"/>
            <w:shd w:val="clear" w:color="auto" w:fill="F3F6F9"/>
            <w:tcMar>
              <w:top w:w="80" w:type="dxa"/>
              <w:left w:w="90" w:type="dxa"/>
              <w:bottom w:w="80" w:type="dxa"/>
              <w:right w:w="90" w:type="dxa"/>
            </w:tcMar>
            <w:vAlign w:val="center"/>
          </w:tcPr>
          <w:p w14:paraId="3243B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React frontend</w:t>
            </w:r>
          </w:p>
        </w:tc>
        <w:tc>
          <w:tcPr>
            <w:tcW w:w="2952" w:type="dxa"/>
            <w:shd w:val="clear" w:color="auto" w:fill="F3F6F9"/>
            <w:tcMar>
              <w:top w:w="80" w:type="dxa"/>
              <w:left w:w="90" w:type="dxa"/>
              <w:bottom w:w="80" w:type="dxa"/>
              <w:right w:w="90" w:type="dxa"/>
            </w:tcMar>
            <w:vAlign w:val="center"/>
          </w:tcPr>
          <w:p w14:paraId="6BB1663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Unit/component tests</w:t>
            </w:r>
          </w:p>
        </w:tc>
        <w:tc>
          <w:tcPr>
            <w:tcW w:w="1490" w:type="dxa"/>
            <w:shd w:val="clear" w:color="auto" w:fill="F3F6F9"/>
            <w:tcMar>
              <w:top w:w="80" w:type="dxa"/>
              <w:left w:w="90" w:type="dxa"/>
              <w:bottom w:w="80" w:type="dxa"/>
              <w:right w:w="90" w:type="dxa"/>
            </w:tcMar>
            <w:vAlign w:val="center"/>
          </w:tcPr>
          <w:p w14:paraId="0FAB367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34 passed in 6 files</w:t>
            </w:r>
          </w:p>
        </w:tc>
        <w:tc>
          <w:tcPr>
            <w:tcW w:w="2686" w:type="dxa"/>
            <w:shd w:val="clear" w:color="auto" w:fill="F3F6F9"/>
            <w:tcMar>
              <w:top w:w="80" w:type="dxa"/>
              <w:left w:w="90" w:type="dxa"/>
              <w:bottom w:w="80" w:type="dxa"/>
              <w:right w:w="90" w:type="dxa"/>
            </w:tcMar>
            <w:vAlign w:val="center"/>
          </w:tcPr>
          <w:p w14:paraId="3654DE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Selected behaviour, not every browser/device.</w:t>
            </w:r>
          </w:p>
        </w:tc>
      </w:tr>
      <w:tr w:rsidR="00FE2287" w:rsidRPr="00E4528F" w14:paraId="149F1AEC" w14:textId="77777777" w:rsidTr="00C74B7B">
        <w:trPr>
          <w:cantSplit/>
          <w:jc w:val="center"/>
        </w:trPr>
        <w:tc>
          <w:tcPr>
            <w:tcW w:w="1512" w:type="dxa"/>
            <w:tcMar>
              <w:top w:w="80" w:type="dxa"/>
              <w:left w:w="90" w:type="dxa"/>
              <w:bottom w:w="80" w:type="dxa"/>
              <w:right w:w="90" w:type="dxa"/>
            </w:tcMar>
            <w:vAlign w:val="center"/>
          </w:tcPr>
          <w:p w14:paraId="289AFF9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Smart contracts</w:t>
            </w:r>
          </w:p>
        </w:tc>
        <w:tc>
          <w:tcPr>
            <w:tcW w:w="2952" w:type="dxa"/>
            <w:tcMar>
              <w:top w:w="80" w:type="dxa"/>
              <w:left w:w="90" w:type="dxa"/>
              <w:bottom w:w="80" w:type="dxa"/>
              <w:right w:w="90" w:type="dxa"/>
            </w:tcMar>
            <w:vAlign w:val="center"/>
          </w:tcPr>
          <w:p w14:paraId="5D4CC156"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Hardhat Solidity, Node.js and fuzz tests</w:t>
            </w:r>
          </w:p>
        </w:tc>
        <w:tc>
          <w:tcPr>
            <w:tcW w:w="1490" w:type="dxa"/>
            <w:tcMar>
              <w:top w:w="80" w:type="dxa"/>
              <w:left w:w="90" w:type="dxa"/>
              <w:bottom w:w="80" w:type="dxa"/>
              <w:right w:w="90" w:type="dxa"/>
            </w:tcMar>
            <w:vAlign w:val="center"/>
          </w:tcPr>
          <w:p w14:paraId="64A1ECE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42 passed: 25 Solidity, 17 Node.js</w:t>
            </w:r>
          </w:p>
        </w:tc>
        <w:tc>
          <w:tcPr>
            <w:tcW w:w="2686" w:type="dxa"/>
            <w:tcMar>
              <w:top w:w="80" w:type="dxa"/>
              <w:left w:w="90" w:type="dxa"/>
              <w:bottom w:w="80" w:type="dxa"/>
              <w:right w:w="90" w:type="dxa"/>
            </w:tcMar>
            <w:vAlign w:val="center"/>
          </w:tcPr>
          <w:p w14:paraId="3309A8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256-run fuzzing is not formal verification.</w:t>
            </w:r>
          </w:p>
        </w:tc>
      </w:tr>
      <w:tr w:rsidR="00FE2287" w:rsidRPr="00E4528F" w14:paraId="0D6217D5" w14:textId="77777777" w:rsidTr="00C74B7B">
        <w:trPr>
          <w:cantSplit/>
          <w:jc w:val="center"/>
        </w:trPr>
        <w:tc>
          <w:tcPr>
            <w:tcW w:w="1512" w:type="dxa"/>
            <w:shd w:val="clear" w:color="auto" w:fill="F3F6F9"/>
            <w:tcMar>
              <w:top w:w="80" w:type="dxa"/>
              <w:left w:w="90" w:type="dxa"/>
              <w:bottom w:w="80" w:type="dxa"/>
              <w:right w:w="90" w:type="dxa"/>
            </w:tcMar>
            <w:vAlign w:val="center"/>
          </w:tcPr>
          <w:p w14:paraId="36D888E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Browser flow</w:t>
            </w:r>
          </w:p>
        </w:tc>
        <w:tc>
          <w:tcPr>
            <w:tcW w:w="2952" w:type="dxa"/>
            <w:shd w:val="clear" w:color="auto" w:fill="F3F6F9"/>
            <w:tcMar>
              <w:top w:w="80" w:type="dxa"/>
              <w:left w:w="90" w:type="dxa"/>
              <w:bottom w:w="80" w:type="dxa"/>
              <w:right w:w="90" w:type="dxa"/>
            </w:tcMar>
            <w:vAlign w:val="center"/>
          </w:tcPr>
          <w:p w14:paraId="2C08F67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Isolated Playwright scenarios</w:t>
            </w:r>
          </w:p>
        </w:tc>
        <w:tc>
          <w:tcPr>
            <w:tcW w:w="1490" w:type="dxa"/>
            <w:shd w:val="clear" w:color="auto" w:fill="F3F6F9"/>
            <w:tcMar>
              <w:top w:w="80" w:type="dxa"/>
              <w:left w:w="90" w:type="dxa"/>
              <w:bottom w:w="80" w:type="dxa"/>
              <w:right w:w="90" w:type="dxa"/>
            </w:tcMar>
            <w:vAlign w:val="center"/>
          </w:tcPr>
          <w:p w14:paraId="6EE3DF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 passed</w:t>
            </w:r>
          </w:p>
        </w:tc>
        <w:tc>
          <w:tcPr>
            <w:tcW w:w="2686" w:type="dxa"/>
            <w:shd w:val="clear" w:color="auto" w:fill="F3F6F9"/>
            <w:tcMar>
              <w:top w:w="80" w:type="dxa"/>
              <w:left w:w="90" w:type="dxa"/>
              <w:bottom w:w="80" w:type="dxa"/>
              <w:right w:w="90" w:type="dxa"/>
            </w:tcMar>
            <w:vAlign w:val="center"/>
          </w:tcPr>
          <w:p w14:paraId="3713CB1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Assessment polling and duplicate-screening paths only.</w:t>
            </w:r>
          </w:p>
        </w:tc>
      </w:tr>
      <w:tr w:rsidR="00FE2287" w:rsidRPr="00E4528F" w14:paraId="3AD12A2D" w14:textId="77777777" w:rsidTr="00C74B7B">
        <w:trPr>
          <w:cantSplit/>
          <w:jc w:val="center"/>
        </w:trPr>
        <w:tc>
          <w:tcPr>
            <w:tcW w:w="1512" w:type="dxa"/>
            <w:tcMar>
              <w:top w:w="80" w:type="dxa"/>
              <w:left w:w="90" w:type="dxa"/>
              <w:bottom w:w="80" w:type="dxa"/>
              <w:right w:w="90" w:type="dxa"/>
            </w:tcMar>
            <w:vAlign w:val="center"/>
          </w:tcPr>
          <w:p w14:paraId="0738F2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Quality gates</w:t>
            </w:r>
          </w:p>
        </w:tc>
        <w:tc>
          <w:tcPr>
            <w:tcW w:w="2952" w:type="dxa"/>
            <w:tcMar>
              <w:top w:w="80" w:type="dxa"/>
              <w:left w:w="90" w:type="dxa"/>
              <w:bottom w:w="80" w:type="dxa"/>
              <w:right w:w="90" w:type="dxa"/>
            </w:tcMar>
            <w:vAlign w:val="center"/>
          </w:tcPr>
          <w:p w14:paraId="2ECAC4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Ruff, frontend lint and production build</w:t>
            </w:r>
          </w:p>
        </w:tc>
        <w:tc>
          <w:tcPr>
            <w:tcW w:w="1490" w:type="dxa"/>
            <w:tcMar>
              <w:top w:w="80" w:type="dxa"/>
              <w:left w:w="90" w:type="dxa"/>
              <w:bottom w:w="80" w:type="dxa"/>
              <w:right w:w="90" w:type="dxa"/>
            </w:tcMar>
            <w:vAlign w:val="center"/>
          </w:tcPr>
          <w:p w14:paraId="33D7F0F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Passed</w:t>
            </w:r>
          </w:p>
        </w:tc>
        <w:tc>
          <w:tcPr>
            <w:tcW w:w="2686" w:type="dxa"/>
            <w:tcMar>
              <w:top w:w="80" w:type="dxa"/>
              <w:left w:w="90" w:type="dxa"/>
              <w:bottom w:w="80" w:type="dxa"/>
              <w:right w:w="90" w:type="dxa"/>
            </w:tcMar>
            <w:vAlign w:val="center"/>
          </w:tcPr>
          <w:p w14:paraId="7E451204"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Static gates passed; Python coverage left the overall verification gate incomplete.</w:t>
            </w:r>
          </w:p>
        </w:tc>
      </w:tr>
    </w:tbl>
    <w:p w14:paraId="054BCA75" w14:textId="77777777" w:rsidR="00FE2287" w:rsidRPr="00E4528F" w:rsidRDefault="00FE2287">
      <w:pPr>
        <w:spacing w:after="0"/>
        <w:rPr>
          <w:rFonts w:cs="Times New Roman"/>
          <w:color w:val="000000" w:themeColor="text1"/>
        </w:rPr>
      </w:pPr>
    </w:p>
    <w:p w14:paraId="47A29045" w14:textId="77777777" w:rsidR="00FE2287" w:rsidRPr="00E4528F" w:rsidRDefault="00000000">
      <w:pPr>
        <w:rPr>
          <w:rFonts w:cs="Times New Roman"/>
          <w:color w:val="000000" w:themeColor="text1"/>
        </w:rPr>
      </w:pPr>
      <w:r>
        <w:rPr>
          <w:rFonts w:cs="Times New Roman"/>
          <w:color w:val="000000" w:themeColor="text1"/>
        </w:rPr>
        <w:t xml:space="preserve">Contract security remains a release condition. Current role, lifecycle, forwarding and replay tests do not replace independent review, managed administration or operational monitoring against a mature security specification. </w:t>
      </w:r>
      <w:sdt>
        <w:sdtPr>
          <w:rPr>
            <w:rFonts w:cs="Times New Roman"/>
            <w:color w:val="000000" w:themeColor="text1"/>
          </w:rPr>
          <w:id w:val="12000006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Sou22</w:instrText>
          </w:r>
          <w:r w:rsidRPr="00E4528F">
            <w:rPr>
              <w:rFonts w:cs="Times New Roman"/>
              <w:color w:val="000000" w:themeColor="text1"/>
            </w:rPr>
            <w:fldChar w:fldCharType="separate"/>
          </w:r>
          <w:r w:rsidRPr="00E4528F">
            <w:rPr>
              <w:rFonts w:cs="Times New Roman"/>
              <w:noProof/>
              <w:color w:val="000000" w:themeColor="text1"/>
            </w:rPr>
            <w:t>(Enterprise Ethereum Alliance, 2025; Souppaya, Scarfone and Dodson, 2022)</w:t>
          </w:r>
          <w:r w:rsidRPr="00E4528F">
            <w:rPr>
              <w:rFonts w:cs="Times New Roman"/>
              <w:color w:val="000000" w:themeColor="text1"/>
            </w:rPr>
            <w:fldChar w:fldCharType="end"/>
          </w:r>
        </w:sdtContent>
      </w:sdt>
    </w:p>
    <w:p w14:paraId="42856F86" w14:textId="77777777" w:rsidR="00FE2287" w:rsidRPr="00E4528F" w:rsidRDefault="00000000">
      <w:pPr>
        <w:pStyle w:val="Heading1"/>
        <w:pageBreakBefore/>
        <w:rPr>
          <w:rFonts w:ascii="Times New Roman" w:hAnsi="Times New Roman" w:cs="Times New Roman"/>
          <w:color w:val="000000" w:themeColor="text1"/>
          <w:sz w:val="40"/>
          <w:szCs w:val="40"/>
        </w:rPr>
      </w:pPr>
      <w:bookmarkStart w:id="44" w:name="bm_ch5"/>
      <w:r w:rsidRPr="00E4528F">
        <w:rPr>
          <w:rFonts w:ascii="Times New Roman" w:hAnsi="Times New Roman" w:cs="Times New Roman"/>
          <w:color w:val="000000" w:themeColor="text1"/>
          <w:sz w:val="40"/>
          <w:szCs w:val="40"/>
        </w:rPr>
        <w:lastRenderedPageBreak/>
        <w:t>Chapter 5: Results</w:t>
      </w:r>
      <w:bookmarkEnd w:id="44"/>
    </w:p>
    <w:p w14:paraId="141433F6" w14:textId="77777777" w:rsidR="00FE2287" w:rsidRPr="00E4528F" w:rsidRDefault="00000000">
      <w:pPr>
        <w:rPr>
          <w:rFonts w:cs="Times New Roman"/>
          <w:color w:val="000000" w:themeColor="text1"/>
        </w:rPr>
      </w:pPr>
      <w:r w:rsidRPr="00E4528F">
        <w:rPr>
          <w:rFonts w:cs="Times New Roman"/>
          <w:color w:val="000000" w:themeColor="text1"/>
        </w:rPr>
        <w:t>This chapter reports two levels of evidence. The pinned dataset, split, base models and held-out metrics are present in the repository and were checked against the saved hashes. The tuning, bootstrap, permutation, country and calibration analyses are preserved in the dissertation’s tables and figures, but their cited script and JSON artifact are not present in the audited commit. Those extensions are therefore treated as supplementary reported results, without a claim of repository-level reproducibility. The test period contains 14,998 records, including 1,676 synthetic fraud labels (11.1748%).</w:t>
      </w:r>
    </w:p>
    <w:p w14:paraId="661A1465" w14:textId="77777777" w:rsidR="00FE2287" w:rsidRPr="00E4528F" w:rsidRDefault="00000000">
      <w:pPr>
        <w:pStyle w:val="Heading2"/>
        <w:rPr>
          <w:rFonts w:ascii="Times New Roman" w:hAnsi="Times New Roman" w:cs="Times New Roman"/>
          <w:color w:val="000000" w:themeColor="text1"/>
          <w:sz w:val="32"/>
          <w:szCs w:val="32"/>
        </w:rPr>
      </w:pPr>
      <w:bookmarkStart w:id="45" w:name="bm_s5_1"/>
      <w:r w:rsidRPr="00E4528F">
        <w:rPr>
          <w:rFonts w:ascii="Times New Roman" w:hAnsi="Times New Roman" w:cs="Times New Roman"/>
          <w:color w:val="000000" w:themeColor="text1"/>
          <w:sz w:val="32"/>
          <w:szCs w:val="32"/>
        </w:rPr>
        <w:t>5.1 Predictive performance and uncertainty</w:t>
      </w:r>
      <w:bookmarkEnd w:id="45"/>
    </w:p>
    <w:p w14:paraId="118D5118" w14:textId="77777777" w:rsidR="00FE2287" w:rsidRPr="00E4528F" w:rsidRDefault="00000000" w:rsidP="00C76C0C">
      <w:pPr>
        <w:pStyle w:val="Caption"/>
        <w:rPr>
          <w:rFonts w:cs="Times New Roman"/>
          <w:color w:val="000000" w:themeColor="text1"/>
        </w:rPr>
      </w:pPr>
      <w:bookmarkStart w:id="46" w:name="bm_tab_data"/>
      <w:r w:rsidRPr="00E4528F">
        <w:rPr>
          <w:rFonts w:cs="Times New Roman"/>
          <w:color w:val="000000" w:themeColor="text1"/>
        </w:rPr>
        <w:t>Table 5.1. Dataset composition and chronological split</w:t>
      </w:r>
      <w:bookmarkEnd w:id="4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1440"/>
        <w:gridCol w:w="1224"/>
        <w:gridCol w:w="4176"/>
      </w:tblGrid>
      <w:tr w:rsidR="00FE2287" w:rsidRPr="00560888" w14:paraId="3D3C553C" w14:textId="77777777">
        <w:trPr>
          <w:cantSplit/>
          <w:tblHeader/>
          <w:jc w:val="center"/>
        </w:trPr>
        <w:tc>
          <w:tcPr>
            <w:tcW w:w="1800" w:type="dxa"/>
            <w:shd w:val="clear" w:color="auto" w:fill="17365D"/>
            <w:tcMar>
              <w:top w:w="80" w:type="dxa"/>
              <w:left w:w="90" w:type="dxa"/>
              <w:bottom w:w="80" w:type="dxa"/>
              <w:right w:w="90" w:type="dxa"/>
            </w:tcMar>
            <w:vAlign w:val="center"/>
          </w:tcPr>
          <w:p w14:paraId="756CB67E"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Partition</w:t>
            </w:r>
          </w:p>
        </w:tc>
        <w:tc>
          <w:tcPr>
            <w:tcW w:w="1440" w:type="dxa"/>
            <w:shd w:val="clear" w:color="auto" w:fill="17365D"/>
            <w:tcMar>
              <w:top w:w="80" w:type="dxa"/>
              <w:left w:w="90" w:type="dxa"/>
              <w:bottom w:w="80" w:type="dxa"/>
              <w:right w:w="90" w:type="dxa"/>
            </w:tcMar>
            <w:vAlign w:val="center"/>
          </w:tcPr>
          <w:p w14:paraId="66A2097D"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Rows</w:t>
            </w:r>
          </w:p>
        </w:tc>
        <w:tc>
          <w:tcPr>
            <w:tcW w:w="1224" w:type="dxa"/>
            <w:shd w:val="clear" w:color="auto" w:fill="17365D"/>
            <w:tcMar>
              <w:top w:w="80" w:type="dxa"/>
              <w:left w:w="90" w:type="dxa"/>
              <w:bottom w:w="80" w:type="dxa"/>
              <w:right w:w="90" w:type="dxa"/>
            </w:tcMar>
            <w:vAlign w:val="center"/>
          </w:tcPr>
          <w:p w14:paraId="7152FB11"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Share</w:t>
            </w:r>
          </w:p>
        </w:tc>
        <w:tc>
          <w:tcPr>
            <w:tcW w:w="4176" w:type="dxa"/>
            <w:shd w:val="clear" w:color="auto" w:fill="17365D"/>
            <w:tcMar>
              <w:top w:w="80" w:type="dxa"/>
              <w:left w:w="90" w:type="dxa"/>
              <w:bottom w:w="80" w:type="dxa"/>
              <w:right w:w="90" w:type="dxa"/>
            </w:tcMar>
            <w:vAlign w:val="center"/>
          </w:tcPr>
          <w:p w14:paraId="1776A248"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Use</w:t>
            </w:r>
          </w:p>
        </w:tc>
      </w:tr>
      <w:tr w:rsidR="00FE2287" w:rsidRPr="00E4528F" w14:paraId="03E7B0FB" w14:textId="77777777">
        <w:trPr>
          <w:cantSplit/>
          <w:jc w:val="center"/>
        </w:trPr>
        <w:tc>
          <w:tcPr>
            <w:tcW w:w="1800" w:type="dxa"/>
            <w:tcMar>
              <w:top w:w="80" w:type="dxa"/>
              <w:left w:w="90" w:type="dxa"/>
              <w:bottom w:w="80" w:type="dxa"/>
              <w:right w:w="90" w:type="dxa"/>
            </w:tcMar>
            <w:vAlign w:val="center"/>
          </w:tcPr>
          <w:p w14:paraId="4E9EB7A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Training</w:t>
            </w:r>
          </w:p>
        </w:tc>
        <w:tc>
          <w:tcPr>
            <w:tcW w:w="1440" w:type="dxa"/>
            <w:tcMar>
              <w:top w:w="80" w:type="dxa"/>
              <w:left w:w="90" w:type="dxa"/>
              <w:bottom w:w="80" w:type="dxa"/>
              <w:right w:w="90" w:type="dxa"/>
            </w:tcMar>
            <w:vAlign w:val="center"/>
          </w:tcPr>
          <w:p w14:paraId="39F8B89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69,987</w:t>
            </w:r>
          </w:p>
        </w:tc>
        <w:tc>
          <w:tcPr>
            <w:tcW w:w="1224" w:type="dxa"/>
            <w:tcMar>
              <w:top w:w="80" w:type="dxa"/>
              <w:left w:w="90" w:type="dxa"/>
              <w:bottom w:w="80" w:type="dxa"/>
              <w:right w:w="90" w:type="dxa"/>
            </w:tcMar>
            <w:vAlign w:val="center"/>
          </w:tcPr>
          <w:p w14:paraId="15CD7B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70.0%</w:t>
            </w:r>
          </w:p>
        </w:tc>
        <w:tc>
          <w:tcPr>
            <w:tcW w:w="4176" w:type="dxa"/>
            <w:tcMar>
              <w:top w:w="80" w:type="dxa"/>
              <w:left w:w="90" w:type="dxa"/>
              <w:bottom w:w="80" w:type="dxa"/>
              <w:right w:w="90" w:type="dxa"/>
            </w:tcMar>
            <w:vAlign w:val="center"/>
          </w:tcPr>
          <w:p w14:paraId="06FF1C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Fit preprocessing and model parameters.</w:t>
            </w:r>
          </w:p>
        </w:tc>
      </w:tr>
      <w:tr w:rsidR="00FE2287" w:rsidRPr="00E4528F" w14:paraId="3156E216" w14:textId="77777777">
        <w:trPr>
          <w:cantSplit/>
          <w:jc w:val="center"/>
        </w:trPr>
        <w:tc>
          <w:tcPr>
            <w:tcW w:w="1800" w:type="dxa"/>
            <w:shd w:val="clear" w:color="auto" w:fill="F3F6F9"/>
            <w:tcMar>
              <w:top w:w="80" w:type="dxa"/>
              <w:left w:w="90" w:type="dxa"/>
              <w:bottom w:w="80" w:type="dxa"/>
              <w:right w:w="90" w:type="dxa"/>
            </w:tcMar>
            <w:vAlign w:val="center"/>
          </w:tcPr>
          <w:p w14:paraId="6A7D321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Validation</w:t>
            </w:r>
          </w:p>
        </w:tc>
        <w:tc>
          <w:tcPr>
            <w:tcW w:w="1440" w:type="dxa"/>
            <w:shd w:val="clear" w:color="auto" w:fill="F3F6F9"/>
            <w:tcMar>
              <w:top w:w="80" w:type="dxa"/>
              <w:left w:w="90" w:type="dxa"/>
              <w:bottom w:w="80" w:type="dxa"/>
              <w:right w:w="90" w:type="dxa"/>
            </w:tcMar>
            <w:vAlign w:val="center"/>
          </w:tcPr>
          <w:p w14:paraId="5FF8BE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14,997</w:t>
            </w:r>
          </w:p>
        </w:tc>
        <w:tc>
          <w:tcPr>
            <w:tcW w:w="1224" w:type="dxa"/>
            <w:shd w:val="clear" w:color="auto" w:fill="F3F6F9"/>
            <w:tcMar>
              <w:top w:w="80" w:type="dxa"/>
              <w:left w:w="90" w:type="dxa"/>
              <w:bottom w:w="80" w:type="dxa"/>
              <w:right w:w="90" w:type="dxa"/>
            </w:tcMar>
            <w:vAlign w:val="center"/>
          </w:tcPr>
          <w:p w14:paraId="64A3D7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15.0%</w:t>
            </w:r>
          </w:p>
        </w:tc>
        <w:tc>
          <w:tcPr>
            <w:tcW w:w="4176" w:type="dxa"/>
            <w:shd w:val="clear" w:color="auto" w:fill="F3F6F9"/>
            <w:tcMar>
              <w:top w:w="80" w:type="dxa"/>
              <w:left w:w="90" w:type="dxa"/>
              <w:bottom w:w="80" w:type="dxa"/>
              <w:right w:w="90" w:type="dxa"/>
            </w:tcMar>
            <w:vAlign w:val="center"/>
          </w:tcPr>
          <w:p w14:paraId="7C99BF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Search and threshold selection.</w:t>
            </w:r>
          </w:p>
        </w:tc>
      </w:tr>
      <w:tr w:rsidR="00FE2287" w:rsidRPr="00E4528F" w14:paraId="4CBE2256" w14:textId="77777777">
        <w:trPr>
          <w:cantSplit/>
          <w:jc w:val="center"/>
        </w:trPr>
        <w:tc>
          <w:tcPr>
            <w:tcW w:w="1800" w:type="dxa"/>
            <w:tcMar>
              <w:top w:w="80" w:type="dxa"/>
              <w:left w:w="90" w:type="dxa"/>
              <w:bottom w:w="80" w:type="dxa"/>
              <w:right w:w="90" w:type="dxa"/>
            </w:tcMar>
            <w:vAlign w:val="center"/>
          </w:tcPr>
          <w:p w14:paraId="6D2C39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Test</w:t>
            </w:r>
          </w:p>
        </w:tc>
        <w:tc>
          <w:tcPr>
            <w:tcW w:w="1440" w:type="dxa"/>
            <w:tcMar>
              <w:top w:w="80" w:type="dxa"/>
              <w:left w:w="90" w:type="dxa"/>
              <w:bottom w:w="80" w:type="dxa"/>
              <w:right w:w="90" w:type="dxa"/>
            </w:tcMar>
            <w:vAlign w:val="center"/>
          </w:tcPr>
          <w:p w14:paraId="54ADEAA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14,998</w:t>
            </w:r>
          </w:p>
        </w:tc>
        <w:tc>
          <w:tcPr>
            <w:tcW w:w="1224" w:type="dxa"/>
            <w:tcMar>
              <w:top w:w="80" w:type="dxa"/>
              <w:left w:w="90" w:type="dxa"/>
              <w:bottom w:w="80" w:type="dxa"/>
              <w:right w:w="90" w:type="dxa"/>
            </w:tcMar>
            <w:vAlign w:val="center"/>
          </w:tcPr>
          <w:p w14:paraId="2F1001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15.0%</w:t>
            </w:r>
          </w:p>
        </w:tc>
        <w:tc>
          <w:tcPr>
            <w:tcW w:w="4176" w:type="dxa"/>
            <w:tcMar>
              <w:top w:w="80" w:type="dxa"/>
              <w:left w:w="90" w:type="dxa"/>
              <w:bottom w:w="80" w:type="dxa"/>
              <w:right w:w="90" w:type="dxa"/>
            </w:tcMar>
            <w:vAlign w:val="center"/>
          </w:tcPr>
          <w:p w14:paraId="14063223" w14:textId="0A8AC752"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Untouched comparison</w:t>
            </w:r>
            <w:r w:rsidR="001765B6" w:rsidRPr="00E4528F">
              <w:rPr>
                <w:rFonts w:cs="Times New Roman"/>
                <w:color w:val="000000" w:themeColor="text1"/>
                <w:sz w:val="18"/>
              </w:rPr>
              <w:t>,</w:t>
            </w:r>
            <w:r w:rsidRPr="00E4528F">
              <w:rPr>
                <w:rFonts w:cs="Times New Roman"/>
                <w:color w:val="000000" w:themeColor="text1"/>
                <w:sz w:val="18"/>
              </w:rPr>
              <w:t xml:space="preserve"> 1,676 positive labels.</w:t>
            </w:r>
          </w:p>
        </w:tc>
      </w:tr>
      <w:tr w:rsidR="00FE2287" w:rsidRPr="00E4528F" w14:paraId="511F78C5" w14:textId="77777777">
        <w:trPr>
          <w:cantSplit/>
          <w:jc w:val="center"/>
        </w:trPr>
        <w:tc>
          <w:tcPr>
            <w:tcW w:w="1800" w:type="dxa"/>
            <w:shd w:val="clear" w:color="auto" w:fill="F3F6F9"/>
            <w:tcMar>
              <w:top w:w="80" w:type="dxa"/>
              <w:left w:w="90" w:type="dxa"/>
              <w:bottom w:w="80" w:type="dxa"/>
              <w:right w:w="90" w:type="dxa"/>
            </w:tcMar>
            <w:vAlign w:val="center"/>
          </w:tcPr>
          <w:p w14:paraId="35380A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Total</w:t>
            </w:r>
          </w:p>
        </w:tc>
        <w:tc>
          <w:tcPr>
            <w:tcW w:w="1440" w:type="dxa"/>
            <w:shd w:val="clear" w:color="auto" w:fill="F3F6F9"/>
            <w:tcMar>
              <w:top w:w="80" w:type="dxa"/>
              <w:left w:w="90" w:type="dxa"/>
              <w:bottom w:w="80" w:type="dxa"/>
              <w:right w:w="90" w:type="dxa"/>
            </w:tcMar>
            <w:vAlign w:val="center"/>
          </w:tcPr>
          <w:p w14:paraId="4205C76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99,982</w:t>
            </w:r>
          </w:p>
        </w:tc>
        <w:tc>
          <w:tcPr>
            <w:tcW w:w="1224" w:type="dxa"/>
            <w:shd w:val="clear" w:color="auto" w:fill="F3F6F9"/>
            <w:tcMar>
              <w:top w:w="80" w:type="dxa"/>
              <w:left w:w="90" w:type="dxa"/>
              <w:bottom w:w="80" w:type="dxa"/>
              <w:right w:w="90" w:type="dxa"/>
            </w:tcMar>
            <w:vAlign w:val="center"/>
          </w:tcPr>
          <w:p w14:paraId="72BEC12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100.0%</w:t>
            </w:r>
          </w:p>
        </w:tc>
        <w:tc>
          <w:tcPr>
            <w:tcW w:w="4176" w:type="dxa"/>
            <w:shd w:val="clear" w:color="auto" w:fill="F3F6F9"/>
            <w:tcMar>
              <w:top w:w="80" w:type="dxa"/>
              <w:left w:w="90" w:type="dxa"/>
              <w:bottom w:w="80" w:type="dxa"/>
              <w:right w:w="90" w:type="dxa"/>
            </w:tcMar>
            <w:vAlign w:val="center"/>
          </w:tcPr>
          <w:p w14:paraId="1B0605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Chronologically ordered usable records.</w:t>
            </w:r>
          </w:p>
        </w:tc>
      </w:tr>
    </w:tbl>
    <w:p w14:paraId="3F690591" w14:textId="77777777" w:rsidR="00FE2287" w:rsidRPr="00E4528F" w:rsidRDefault="00FE2287">
      <w:pPr>
        <w:spacing w:after="0"/>
        <w:rPr>
          <w:rFonts w:cs="Times New Roman"/>
          <w:color w:val="000000" w:themeColor="text1"/>
        </w:rPr>
      </w:pPr>
    </w:p>
    <w:p w14:paraId="3B076A03" w14:textId="42BBEE6F" w:rsidR="00FE2287" w:rsidRPr="00E4528F" w:rsidRDefault="00000000">
      <w:pPr>
        <w:rPr>
          <w:rFonts w:cs="Times New Roman"/>
          <w:color w:val="000000" w:themeColor="text1"/>
        </w:rPr>
      </w:pPr>
      <w:r w:rsidRPr="00E4528F">
        <w:rPr>
          <w:rFonts w:cs="Times New Roman"/>
          <w:color w:val="000000" w:themeColor="text1"/>
        </w:rPr>
        <w:t>Table 5.2 confirms the earlier operational trade-off. Logistic regression ranks marginally better, while the deployed XGBoost threshold retrieves more positives by flagging almost half of the test set. Its 1,032 true positives are accompanied by 5,952 false positives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L</w:t>
      </w:r>
      <w:r w:rsidRPr="00E4528F">
        <w:rPr>
          <w:rFonts w:cs="Times New Roman"/>
          <w:color w:val="000000" w:themeColor="text1"/>
        </w:rPr>
        <w:t>ogistic regression produces 683 and 3,260 respectively. The additional 349 detections therefore require 3,041 additional referrals, or about 8.7 extra flagged claims per extra positive found.</w:t>
      </w:r>
    </w:p>
    <w:p w14:paraId="267AC2DE" w14:textId="77777777" w:rsidR="00FE2287" w:rsidRPr="00E4528F" w:rsidRDefault="00000000" w:rsidP="00C76C0C">
      <w:pPr>
        <w:pStyle w:val="Caption"/>
        <w:rPr>
          <w:rFonts w:cs="Times New Roman"/>
          <w:color w:val="000000" w:themeColor="text1"/>
        </w:rPr>
      </w:pPr>
      <w:bookmarkStart w:id="47" w:name="bm_tab_metrics"/>
      <w:r w:rsidRPr="00E4528F">
        <w:rPr>
          <w:rFonts w:cs="Times New Roman"/>
          <w:color w:val="000000" w:themeColor="text1"/>
        </w:rPr>
        <w:t>Table 5.2. Held-out predictive performance</w:t>
      </w:r>
      <w:bookmarkEnd w:id="4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936"/>
        <w:gridCol w:w="922"/>
        <w:gridCol w:w="979"/>
        <w:gridCol w:w="979"/>
        <w:gridCol w:w="835"/>
        <w:gridCol w:w="749"/>
        <w:gridCol w:w="1159"/>
      </w:tblGrid>
      <w:tr w:rsidR="00FE2287" w:rsidRPr="00E4528F" w14:paraId="6DBD668C" w14:textId="77777777" w:rsidTr="00C76C0C">
        <w:trPr>
          <w:cantSplit/>
          <w:tblHeader/>
          <w:jc w:val="center"/>
        </w:trPr>
        <w:tc>
          <w:tcPr>
            <w:tcW w:w="2088" w:type="dxa"/>
            <w:shd w:val="clear" w:color="auto" w:fill="17365D"/>
            <w:tcMar>
              <w:top w:w="80" w:type="dxa"/>
              <w:left w:w="90" w:type="dxa"/>
              <w:bottom w:w="80" w:type="dxa"/>
              <w:right w:w="90" w:type="dxa"/>
            </w:tcMar>
            <w:vAlign w:val="center"/>
          </w:tcPr>
          <w:p w14:paraId="4E9286F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Model</w:t>
            </w:r>
          </w:p>
        </w:tc>
        <w:tc>
          <w:tcPr>
            <w:tcW w:w="936" w:type="dxa"/>
            <w:shd w:val="clear" w:color="auto" w:fill="17365D"/>
            <w:tcMar>
              <w:top w:w="80" w:type="dxa"/>
              <w:left w:w="90" w:type="dxa"/>
              <w:bottom w:w="80" w:type="dxa"/>
              <w:right w:w="90" w:type="dxa"/>
            </w:tcMar>
            <w:vAlign w:val="center"/>
          </w:tcPr>
          <w:p w14:paraId="6650235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Threshold</w:t>
            </w:r>
          </w:p>
        </w:tc>
        <w:tc>
          <w:tcPr>
            <w:tcW w:w="922" w:type="dxa"/>
            <w:shd w:val="clear" w:color="auto" w:fill="17365D"/>
            <w:tcMar>
              <w:top w:w="80" w:type="dxa"/>
              <w:left w:w="90" w:type="dxa"/>
              <w:bottom w:w="80" w:type="dxa"/>
              <w:right w:w="90" w:type="dxa"/>
            </w:tcMar>
            <w:vAlign w:val="center"/>
          </w:tcPr>
          <w:p w14:paraId="2B68C59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PR-AUC</w:t>
            </w:r>
          </w:p>
        </w:tc>
        <w:tc>
          <w:tcPr>
            <w:tcW w:w="979" w:type="dxa"/>
            <w:shd w:val="clear" w:color="auto" w:fill="17365D"/>
            <w:tcMar>
              <w:top w:w="80" w:type="dxa"/>
              <w:left w:w="90" w:type="dxa"/>
              <w:bottom w:w="80" w:type="dxa"/>
              <w:right w:w="90" w:type="dxa"/>
            </w:tcMar>
            <w:vAlign w:val="center"/>
          </w:tcPr>
          <w:p w14:paraId="6D718E97"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ROC-AUC</w:t>
            </w:r>
          </w:p>
        </w:tc>
        <w:tc>
          <w:tcPr>
            <w:tcW w:w="979" w:type="dxa"/>
            <w:shd w:val="clear" w:color="auto" w:fill="17365D"/>
            <w:tcMar>
              <w:top w:w="80" w:type="dxa"/>
              <w:left w:w="90" w:type="dxa"/>
              <w:bottom w:w="80" w:type="dxa"/>
              <w:right w:w="90" w:type="dxa"/>
            </w:tcMar>
            <w:vAlign w:val="center"/>
          </w:tcPr>
          <w:p w14:paraId="38783B6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Precision</w:t>
            </w:r>
          </w:p>
        </w:tc>
        <w:tc>
          <w:tcPr>
            <w:tcW w:w="835" w:type="dxa"/>
            <w:shd w:val="clear" w:color="auto" w:fill="17365D"/>
            <w:tcMar>
              <w:top w:w="80" w:type="dxa"/>
              <w:left w:w="90" w:type="dxa"/>
              <w:bottom w:w="80" w:type="dxa"/>
              <w:right w:w="90" w:type="dxa"/>
            </w:tcMar>
            <w:vAlign w:val="center"/>
          </w:tcPr>
          <w:p w14:paraId="778BC4B1"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Recall</w:t>
            </w:r>
          </w:p>
        </w:tc>
        <w:tc>
          <w:tcPr>
            <w:tcW w:w="749" w:type="dxa"/>
            <w:shd w:val="clear" w:color="auto" w:fill="17365D"/>
            <w:tcMar>
              <w:top w:w="80" w:type="dxa"/>
              <w:left w:w="90" w:type="dxa"/>
              <w:bottom w:w="80" w:type="dxa"/>
              <w:right w:w="90" w:type="dxa"/>
            </w:tcMar>
            <w:vAlign w:val="center"/>
          </w:tcPr>
          <w:p w14:paraId="4805B82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F1</w:t>
            </w:r>
          </w:p>
        </w:tc>
        <w:tc>
          <w:tcPr>
            <w:tcW w:w="1159" w:type="dxa"/>
            <w:shd w:val="clear" w:color="auto" w:fill="17365D"/>
            <w:tcMar>
              <w:top w:w="80" w:type="dxa"/>
              <w:left w:w="90" w:type="dxa"/>
              <w:bottom w:w="80" w:type="dxa"/>
              <w:right w:w="90" w:type="dxa"/>
            </w:tcMar>
            <w:vAlign w:val="center"/>
          </w:tcPr>
          <w:p w14:paraId="1E779C8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Brier</w:t>
            </w:r>
          </w:p>
        </w:tc>
      </w:tr>
      <w:tr w:rsidR="00FE2287" w:rsidRPr="00E4528F" w14:paraId="200C3674" w14:textId="77777777" w:rsidTr="00C76C0C">
        <w:trPr>
          <w:cantSplit/>
          <w:jc w:val="center"/>
        </w:trPr>
        <w:tc>
          <w:tcPr>
            <w:tcW w:w="2088" w:type="dxa"/>
            <w:tcMar>
              <w:top w:w="80" w:type="dxa"/>
              <w:left w:w="90" w:type="dxa"/>
              <w:bottom w:w="80" w:type="dxa"/>
              <w:right w:w="90" w:type="dxa"/>
            </w:tcMar>
            <w:vAlign w:val="center"/>
          </w:tcPr>
          <w:p w14:paraId="1613F1D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Logistic regression</w:t>
            </w:r>
          </w:p>
        </w:tc>
        <w:tc>
          <w:tcPr>
            <w:tcW w:w="936" w:type="dxa"/>
            <w:tcMar>
              <w:top w:w="80" w:type="dxa"/>
              <w:left w:w="90" w:type="dxa"/>
              <w:bottom w:w="80" w:type="dxa"/>
              <w:right w:w="90" w:type="dxa"/>
            </w:tcMar>
            <w:vAlign w:val="center"/>
          </w:tcPr>
          <w:p w14:paraId="163164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0.54</w:t>
            </w:r>
          </w:p>
        </w:tc>
        <w:tc>
          <w:tcPr>
            <w:tcW w:w="922" w:type="dxa"/>
            <w:tcMar>
              <w:top w:w="80" w:type="dxa"/>
              <w:left w:w="90" w:type="dxa"/>
              <w:bottom w:w="80" w:type="dxa"/>
              <w:right w:w="90" w:type="dxa"/>
            </w:tcMar>
            <w:vAlign w:val="center"/>
          </w:tcPr>
          <w:p w14:paraId="7FEF203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0.1711</w:t>
            </w:r>
          </w:p>
        </w:tc>
        <w:tc>
          <w:tcPr>
            <w:tcW w:w="979" w:type="dxa"/>
            <w:tcMar>
              <w:top w:w="80" w:type="dxa"/>
              <w:left w:w="90" w:type="dxa"/>
              <w:bottom w:w="80" w:type="dxa"/>
              <w:right w:w="90" w:type="dxa"/>
            </w:tcMar>
            <w:vAlign w:val="center"/>
          </w:tcPr>
          <w:p w14:paraId="13B333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0.6279</w:t>
            </w:r>
          </w:p>
        </w:tc>
        <w:tc>
          <w:tcPr>
            <w:tcW w:w="979" w:type="dxa"/>
            <w:tcMar>
              <w:top w:w="80" w:type="dxa"/>
              <w:left w:w="90" w:type="dxa"/>
              <w:bottom w:w="80" w:type="dxa"/>
              <w:right w:w="90" w:type="dxa"/>
            </w:tcMar>
            <w:vAlign w:val="center"/>
          </w:tcPr>
          <w:p w14:paraId="5CDCA8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0.1732</w:t>
            </w:r>
          </w:p>
        </w:tc>
        <w:tc>
          <w:tcPr>
            <w:tcW w:w="835" w:type="dxa"/>
            <w:tcMar>
              <w:top w:w="80" w:type="dxa"/>
              <w:left w:w="90" w:type="dxa"/>
              <w:bottom w:w="80" w:type="dxa"/>
              <w:right w:w="90" w:type="dxa"/>
            </w:tcMar>
            <w:vAlign w:val="center"/>
          </w:tcPr>
          <w:p w14:paraId="183ECB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0.4075</w:t>
            </w:r>
          </w:p>
        </w:tc>
        <w:tc>
          <w:tcPr>
            <w:tcW w:w="749" w:type="dxa"/>
            <w:tcMar>
              <w:top w:w="80" w:type="dxa"/>
              <w:left w:w="90" w:type="dxa"/>
              <w:bottom w:w="80" w:type="dxa"/>
              <w:right w:w="90" w:type="dxa"/>
            </w:tcMar>
            <w:vAlign w:val="center"/>
          </w:tcPr>
          <w:p w14:paraId="3C00E7B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0.2431</w:t>
            </w:r>
          </w:p>
        </w:tc>
        <w:tc>
          <w:tcPr>
            <w:tcW w:w="1159" w:type="dxa"/>
            <w:tcMar>
              <w:top w:w="80" w:type="dxa"/>
              <w:left w:w="90" w:type="dxa"/>
              <w:bottom w:w="80" w:type="dxa"/>
              <w:right w:w="90" w:type="dxa"/>
            </w:tcMar>
            <w:vAlign w:val="center"/>
          </w:tcPr>
          <w:p w14:paraId="09C685E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0.2392</w:t>
            </w:r>
          </w:p>
        </w:tc>
      </w:tr>
      <w:tr w:rsidR="00FE2287" w:rsidRPr="00E4528F" w14:paraId="36284D4B" w14:textId="77777777" w:rsidTr="00C76C0C">
        <w:trPr>
          <w:cantSplit/>
          <w:jc w:val="center"/>
        </w:trPr>
        <w:tc>
          <w:tcPr>
            <w:tcW w:w="2088" w:type="dxa"/>
            <w:shd w:val="clear" w:color="auto" w:fill="F3F6F9"/>
            <w:tcMar>
              <w:top w:w="80" w:type="dxa"/>
              <w:left w:w="90" w:type="dxa"/>
              <w:bottom w:w="80" w:type="dxa"/>
              <w:right w:w="90" w:type="dxa"/>
            </w:tcMar>
            <w:vAlign w:val="center"/>
          </w:tcPr>
          <w:p w14:paraId="0F91CE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Deployed XGBoost</w:t>
            </w:r>
          </w:p>
        </w:tc>
        <w:tc>
          <w:tcPr>
            <w:tcW w:w="936" w:type="dxa"/>
            <w:shd w:val="clear" w:color="auto" w:fill="F3F6F9"/>
            <w:tcMar>
              <w:top w:w="80" w:type="dxa"/>
              <w:left w:w="90" w:type="dxa"/>
              <w:bottom w:w="80" w:type="dxa"/>
              <w:right w:w="90" w:type="dxa"/>
            </w:tcMar>
            <w:vAlign w:val="center"/>
          </w:tcPr>
          <w:p w14:paraId="67B7F71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0.47</w:t>
            </w:r>
          </w:p>
        </w:tc>
        <w:tc>
          <w:tcPr>
            <w:tcW w:w="922" w:type="dxa"/>
            <w:shd w:val="clear" w:color="auto" w:fill="F3F6F9"/>
            <w:tcMar>
              <w:top w:w="80" w:type="dxa"/>
              <w:left w:w="90" w:type="dxa"/>
              <w:bottom w:w="80" w:type="dxa"/>
              <w:right w:w="90" w:type="dxa"/>
            </w:tcMar>
            <w:vAlign w:val="center"/>
          </w:tcPr>
          <w:p w14:paraId="179060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0.1647</w:t>
            </w:r>
          </w:p>
        </w:tc>
        <w:tc>
          <w:tcPr>
            <w:tcW w:w="979" w:type="dxa"/>
            <w:shd w:val="clear" w:color="auto" w:fill="F3F6F9"/>
            <w:tcMar>
              <w:top w:w="80" w:type="dxa"/>
              <w:left w:w="90" w:type="dxa"/>
              <w:bottom w:w="80" w:type="dxa"/>
              <w:right w:w="90" w:type="dxa"/>
            </w:tcMar>
            <w:vAlign w:val="center"/>
          </w:tcPr>
          <w:p w14:paraId="18C8E7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0.6148</w:t>
            </w:r>
          </w:p>
        </w:tc>
        <w:tc>
          <w:tcPr>
            <w:tcW w:w="979" w:type="dxa"/>
            <w:shd w:val="clear" w:color="auto" w:fill="F3F6F9"/>
            <w:tcMar>
              <w:top w:w="80" w:type="dxa"/>
              <w:left w:w="90" w:type="dxa"/>
              <w:bottom w:w="80" w:type="dxa"/>
              <w:right w:w="90" w:type="dxa"/>
            </w:tcMar>
            <w:vAlign w:val="center"/>
          </w:tcPr>
          <w:p w14:paraId="6E5DE7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0.1478</w:t>
            </w:r>
          </w:p>
        </w:tc>
        <w:tc>
          <w:tcPr>
            <w:tcW w:w="835" w:type="dxa"/>
            <w:shd w:val="clear" w:color="auto" w:fill="F3F6F9"/>
            <w:tcMar>
              <w:top w:w="80" w:type="dxa"/>
              <w:left w:w="90" w:type="dxa"/>
              <w:bottom w:w="80" w:type="dxa"/>
              <w:right w:w="90" w:type="dxa"/>
            </w:tcMar>
            <w:vAlign w:val="center"/>
          </w:tcPr>
          <w:p w14:paraId="238C25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0.6158</w:t>
            </w:r>
          </w:p>
        </w:tc>
        <w:tc>
          <w:tcPr>
            <w:tcW w:w="749" w:type="dxa"/>
            <w:shd w:val="clear" w:color="auto" w:fill="F3F6F9"/>
            <w:tcMar>
              <w:top w:w="80" w:type="dxa"/>
              <w:left w:w="90" w:type="dxa"/>
              <w:bottom w:w="80" w:type="dxa"/>
              <w:right w:w="90" w:type="dxa"/>
            </w:tcMar>
            <w:vAlign w:val="center"/>
          </w:tcPr>
          <w:p w14:paraId="52806A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0.2383</w:t>
            </w:r>
          </w:p>
        </w:tc>
        <w:tc>
          <w:tcPr>
            <w:tcW w:w="1159" w:type="dxa"/>
            <w:shd w:val="clear" w:color="auto" w:fill="F3F6F9"/>
            <w:tcMar>
              <w:top w:w="80" w:type="dxa"/>
              <w:left w:w="90" w:type="dxa"/>
              <w:bottom w:w="80" w:type="dxa"/>
              <w:right w:w="90" w:type="dxa"/>
            </w:tcMar>
            <w:vAlign w:val="center"/>
          </w:tcPr>
          <w:p w14:paraId="238EBE5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0.2213</w:t>
            </w:r>
          </w:p>
        </w:tc>
      </w:tr>
      <w:tr w:rsidR="00FE2287" w:rsidRPr="00E4528F" w14:paraId="00CD7297" w14:textId="77777777" w:rsidTr="00C76C0C">
        <w:trPr>
          <w:cantSplit/>
          <w:jc w:val="center"/>
        </w:trPr>
        <w:tc>
          <w:tcPr>
            <w:tcW w:w="2088" w:type="dxa"/>
            <w:tcMar>
              <w:top w:w="80" w:type="dxa"/>
              <w:left w:w="90" w:type="dxa"/>
              <w:bottom w:w="80" w:type="dxa"/>
              <w:right w:w="90" w:type="dxa"/>
            </w:tcMar>
            <w:vAlign w:val="center"/>
          </w:tcPr>
          <w:p w14:paraId="432A19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Tuned XGBoost</w:t>
            </w:r>
          </w:p>
        </w:tc>
        <w:tc>
          <w:tcPr>
            <w:tcW w:w="936" w:type="dxa"/>
            <w:tcMar>
              <w:top w:w="80" w:type="dxa"/>
              <w:left w:w="90" w:type="dxa"/>
              <w:bottom w:w="80" w:type="dxa"/>
              <w:right w:w="90" w:type="dxa"/>
            </w:tcMar>
            <w:vAlign w:val="center"/>
          </w:tcPr>
          <w:p w14:paraId="4124FD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0.60</w:t>
            </w:r>
          </w:p>
        </w:tc>
        <w:tc>
          <w:tcPr>
            <w:tcW w:w="922" w:type="dxa"/>
            <w:tcMar>
              <w:top w:w="80" w:type="dxa"/>
              <w:left w:w="90" w:type="dxa"/>
              <w:bottom w:w="80" w:type="dxa"/>
              <w:right w:w="90" w:type="dxa"/>
            </w:tcMar>
            <w:vAlign w:val="center"/>
          </w:tcPr>
          <w:p w14:paraId="4313F44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0.1701</w:t>
            </w:r>
          </w:p>
        </w:tc>
        <w:tc>
          <w:tcPr>
            <w:tcW w:w="979" w:type="dxa"/>
            <w:tcMar>
              <w:top w:w="80" w:type="dxa"/>
              <w:left w:w="90" w:type="dxa"/>
              <w:bottom w:w="80" w:type="dxa"/>
              <w:right w:w="90" w:type="dxa"/>
            </w:tcMar>
            <w:vAlign w:val="center"/>
          </w:tcPr>
          <w:p w14:paraId="6F8E85C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0.6239</w:t>
            </w:r>
          </w:p>
        </w:tc>
        <w:tc>
          <w:tcPr>
            <w:tcW w:w="979" w:type="dxa"/>
            <w:tcMar>
              <w:top w:w="80" w:type="dxa"/>
              <w:left w:w="90" w:type="dxa"/>
              <w:bottom w:w="80" w:type="dxa"/>
              <w:right w:w="90" w:type="dxa"/>
            </w:tcMar>
            <w:vAlign w:val="center"/>
          </w:tcPr>
          <w:p w14:paraId="49AF228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0.1550</w:t>
            </w:r>
          </w:p>
        </w:tc>
        <w:tc>
          <w:tcPr>
            <w:tcW w:w="835" w:type="dxa"/>
            <w:tcMar>
              <w:top w:w="80" w:type="dxa"/>
              <w:left w:w="90" w:type="dxa"/>
              <w:bottom w:w="80" w:type="dxa"/>
              <w:right w:w="90" w:type="dxa"/>
            </w:tcMar>
            <w:vAlign w:val="center"/>
          </w:tcPr>
          <w:p w14:paraId="5ECC327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0.5424</w:t>
            </w:r>
          </w:p>
        </w:tc>
        <w:tc>
          <w:tcPr>
            <w:tcW w:w="749" w:type="dxa"/>
            <w:tcMar>
              <w:top w:w="80" w:type="dxa"/>
              <w:left w:w="90" w:type="dxa"/>
              <w:bottom w:w="80" w:type="dxa"/>
              <w:right w:w="90" w:type="dxa"/>
            </w:tcMar>
            <w:vAlign w:val="center"/>
          </w:tcPr>
          <w:p w14:paraId="5AB9CE0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0.2411</w:t>
            </w:r>
          </w:p>
        </w:tc>
        <w:tc>
          <w:tcPr>
            <w:tcW w:w="1159" w:type="dxa"/>
            <w:tcMar>
              <w:top w:w="80" w:type="dxa"/>
              <w:left w:w="90" w:type="dxa"/>
              <w:bottom w:w="80" w:type="dxa"/>
              <w:right w:w="90" w:type="dxa"/>
            </w:tcMar>
            <w:vAlign w:val="center"/>
          </w:tcPr>
          <w:p w14:paraId="252112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0.3086</w:t>
            </w:r>
          </w:p>
        </w:tc>
      </w:tr>
    </w:tbl>
    <w:p w14:paraId="64B1AFCB" w14:textId="77777777" w:rsidR="00FE2287" w:rsidRPr="00E4528F" w:rsidRDefault="00FE2287">
      <w:pPr>
        <w:spacing w:after="0"/>
        <w:rPr>
          <w:rFonts w:cs="Times New Roman"/>
          <w:color w:val="000000" w:themeColor="text1"/>
        </w:rPr>
      </w:pPr>
    </w:p>
    <w:p w14:paraId="0FB1EDA5"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784CCCF5" wp14:editId="355FC798">
            <wp:extent cx="5303520" cy="2952475"/>
            <wp:effectExtent l="0" t="0" r="0" b="0"/>
            <wp:docPr id="5" name="Picture 5" descr="Grouped bars compare PR-AUC, ROC-AUC, precision, recall and F1 for the original logistic-regression and deployed XGBoost models." title="Figure 5.1. Predictiv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6"/>
                    <a:stretch>
                      <a:fillRect/>
                    </a:stretch>
                  </pic:blipFill>
                  <pic:spPr>
                    <a:xfrm>
                      <a:off x="0" y="0"/>
                      <a:ext cx="5303520" cy="2952475"/>
                    </a:xfrm>
                    <a:prstGeom prst="rect">
                      <a:avLst/>
                    </a:prstGeom>
                  </pic:spPr>
                </pic:pic>
              </a:graphicData>
            </a:graphic>
          </wp:inline>
        </w:drawing>
      </w:r>
    </w:p>
    <w:p w14:paraId="37F68B4A" w14:textId="77777777" w:rsidR="00FE2287" w:rsidRPr="00E4528F" w:rsidRDefault="00000000" w:rsidP="00C76C0C">
      <w:pPr>
        <w:pStyle w:val="Caption"/>
        <w:rPr>
          <w:rFonts w:cs="Times New Roman"/>
          <w:color w:val="000000" w:themeColor="text1"/>
        </w:rPr>
      </w:pPr>
      <w:bookmarkStart w:id="48" w:name="bm_fig_model"/>
      <w:r w:rsidRPr="00E4528F">
        <w:rPr>
          <w:rFonts w:cs="Times New Roman"/>
          <w:color w:val="000000" w:themeColor="text1"/>
        </w:rPr>
        <w:t>Figure 5.1. Predictive-model comparison</w:t>
      </w:r>
      <w:bookmarkEnd w:id="48"/>
    </w:p>
    <w:p w14:paraId="084A6024" w14:textId="77777777" w:rsidR="00FE2287" w:rsidRPr="00E4528F" w:rsidRDefault="00000000">
      <w:pPr>
        <w:rPr>
          <w:rFonts w:cs="Times New Roman"/>
          <w:color w:val="000000" w:themeColor="text1"/>
        </w:rPr>
      </w:pPr>
      <w:r w:rsidRPr="00E4528F">
        <w:rPr>
          <w:rFonts w:cs="Times New Roman"/>
          <w:color w:val="000000" w:themeColor="text1"/>
        </w:rPr>
        <w:t xml:space="preserve">The retained analysis reports 2,000 paired bootstrap samples from the same test records. Pairing matters because each model is evaluated on the same claims. The original PR-AUC difference is small but its interval narrowly excludes zero. After tuning, the interval includes zero. This corrects the initial plan’s expectation that the original gap would be indistinguishable: the observed result must take precedence over the anticipated narrative </w:t>
      </w:r>
      <w:sdt>
        <w:sdtPr>
          <w:rPr>
            <w:rFonts w:cs="Times New Roman"/>
            <w:color w:val="000000" w:themeColor="text1"/>
          </w:rPr>
          <w:id w:val="12000006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Pfo22 \l 1033 </w:instrText>
          </w:r>
          <w:r w:rsidRPr="00E4528F">
            <w:rPr>
              <w:rFonts w:cs="Times New Roman"/>
              <w:color w:val="000000" w:themeColor="text1"/>
            </w:rPr>
            <w:fldChar w:fldCharType="separate"/>
          </w:r>
          <w:r w:rsidRPr="00E4528F">
            <w:rPr>
              <w:rFonts w:cs="Times New Roman"/>
              <w:noProof/>
              <w:color w:val="000000" w:themeColor="text1"/>
            </w:rPr>
            <w:t>(Pfob, Lu and Sidey-Gibbons, 2022)</w:t>
          </w:r>
          <w:r w:rsidRPr="00E4528F">
            <w:rPr>
              <w:rFonts w:cs="Times New Roman"/>
              <w:color w:val="000000" w:themeColor="text1"/>
            </w:rPr>
            <w:fldChar w:fldCharType="end"/>
          </w:r>
        </w:sdtContent>
      </w:sdt>
      <w:r w:rsidRPr="00E4528F">
        <w:rPr>
          <w:rFonts w:cs="Times New Roman"/>
          <w:color w:val="000000" w:themeColor="text1"/>
        </w:rPr>
        <w:t>.</w:t>
      </w:r>
    </w:p>
    <w:p w14:paraId="2856F8C8" w14:textId="77777777" w:rsidR="00FE2287" w:rsidRPr="00E4528F" w:rsidRDefault="00000000" w:rsidP="00C76C0C">
      <w:pPr>
        <w:pStyle w:val="Caption"/>
        <w:rPr>
          <w:rFonts w:cs="Times New Roman"/>
          <w:color w:val="000000" w:themeColor="text1"/>
        </w:rPr>
      </w:pPr>
      <w:bookmarkStart w:id="49" w:name="bm_tab_bootstrap"/>
      <w:r w:rsidRPr="00E4528F">
        <w:rPr>
          <w:rFonts w:cs="Times New Roman"/>
          <w:color w:val="000000" w:themeColor="text1"/>
        </w:rPr>
        <w:t>Table 5.3. Paired-bootstrap uncertainty</w:t>
      </w:r>
      <w:bookmarkEnd w:id="4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1224"/>
        <w:gridCol w:w="2088"/>
        <w:gridCol w:w="3096"/>
      </w:tblGrid>
      <w:tr w:rsidR="00FE2287" w:rsidRPr="001A26AA" w14:paraId="6C1F212F" w14:textId="77777777">
        <w:trPr>
          <w:cantSplit/>
          <w:tblHeader/>
          <w:jc w:val="center"/>
        </w:trPr>
        <w:tc>
          <w:tcPr>
            <w:tcW w:w="2232" w:type="dxa"/>
            <w:shd w:val="clear" w:color="auto" w:fill="17365D"/>
            <w:tcMar>
              <w:top w:w="80" w:type="dxa"/>
              <w:left w:w="90" w:type="dxa"/>
              <w:bottom w:w="80" w:type="dxa"/>
              <w:right w:w="90" w:type="dxa"/>
            </w:tcMar>
            <w:vAlign w:val="center"/>
          </w:tcPr>
          <w:p w14:paraId="2B92D0DF"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Estimate</w:t>
            </w:r>
          </w:p>
        </w:tc>
        <w:tc>
          <w:tcPr>
            <w:tcW w:w="1224" w:type="dxa"/>
            <w:shd w:val="clear" w:color="auto" w:fill="17365D"/>
            <w:tcMar>
              <w:top w:w="80" w:type="dxa"/>
              <w:left w:w="90" w:type="dxa"/>
              <w:bottom w:w="80" w:type="dxa"/>
              <w:right w:w="90" w:type="dxa"/>
            </w:tcMar>
            <w:vAlign w:val="center"/>
          </w:tcPr>
          <w:p w14:paraId="3A63C80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Mean / point</w:t>
            </w:r>
          </w:p>
        </w:tc>
        <w:tc>
          <w:tcPr>
            <w:tcW w:w="2088" w:type="dxa"/>
            <w:shd w:val="clear" w:color="auto" w:fill="17365D"/>
            <w:tcMar>
              <w:top w:w="80" w:type="dxa"/>
              <w:left w:w="90" w:type="dxa"/>
              <w:bottom w:w="80" w:type="dxa"/>
              <w:right w:w="90" w:type="dxa"/>
            </w:tcMar>
            <w:vAlign w:val="center"/>
          </w:tcPr>
          <w:p w14:paraId="20FDF6F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95% bootstrap interval</w:t>
            </w:r>
          </w:p>
        </w:tc>
        <w:tc>
          <w:tcPr>
            <w:tcW w:w="3096" w:type="dxa"/>
            <w:shd w:val="clear" w:color="auto" w:fill="17365D"/>
            <w:tcMar>
              <w:top w:w="80" w:type="dxa"/>
              <w:left w:w="90" w:type="dxa"/>
              <w:bottom w:w="80" w:type="dxa"/>
              <w:right w:w="90" w:type="dxa"/>
            </w:tcMar>
            <w:vAlign w:val="center"/>
          </w:tcPr>
          <w:p w14:paraId="49F8E2B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Interpretation</w:t>
            </w:r>
          </w:p>
        </w:tc>
      </w:tr>
      <w:tr w:rsidR="00FE2287" w:rsidRPr="00E4528F" w14:paraId="03DFDE50" w14:textId="77777777">
        <w:trPr>
          <w:cantSplit/>
          <w:jc w:val="center"/>
        </w:trPr>
        <w:tc>
          <w:tcPr>
            <w:tcW w:w="2232" w:type="dxa"/>
            <w:tcMar>
              <w:top w:w="80" w:type="dxa"/>
              <w:left w:w="90" w:type="dxa"/>
              <w:bottom w:w="80" w:type="dxa"/>
              <w:right w:w="90" w:type="dxa"/>
            </w:tcMar>
            <w:vAlign w:val="center"/>
          </w:tcPr>
          <w:p w14:paraId="0148EE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PR-AUC</w:t>
            </w:r>
          </w:p>
        </w:tc>
        <w:tc>
          <w:tcPr>
            <w:tcW w:w="1224" w:type="dxa"/>
            <w:tcMar>
              <w:top w:w="80" w:type="dxa"/>
              <w:left w:w="90" w:type="dxa"/>
              <w:bottom w:w="80" w:type="dxa"/>
              <w:right w:w="90" w:type="dxa"/>
            </w:tcMar>
            <w:vAlign w:val="center"/>
          </w:tcPr>
          <w:p w14:paraId="65F569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0.1711</w:t>
            </w:r>
          </w:p>
        </w:tc>
        <w:tc>
          <w:tcPr>
            <w:tcW w:w="2088" w:type="dxa"/>
            <w:tcMar>
              <w:top w:w="80" w:type="dxa"/>
              <w:left w:w="90" w:type="dxa"/>
              <w:bottom w:w="80" w:type="dxa"/>
              <w:right w:w="90" w:type="dxa"/>
            </w:tcMar>
            <w:vAlign w:val="center"/>
          </w:tcPr>
          <w:p w14:paraId="12E9972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0.1595 to 0.1846</w:t>
            </w:r>
          </w:p>
        </w:tc>
        <w:tc>
          <w:tcPr>
            <w:tcW w:w="3096" w:type="dxa"/>
            <w:tcMar>
              <w:top w:w="80" w:type="dxa"/>
              <w:left w:w="90" w:type="dxa"/>
              <w:bottom w:w="80" w:type="dxa"/>
              <w:right w:w="90" w:type="dxa"/>
            </w:tcMar>
            <w:vAlign w:val="center"/>
          </w:tcPr>
          <w:p w14:paraId="265772E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Weak ranking performance.</w:t>
            </w:r>
          </w:p>
        </w:tc>
      </w:tr>
      <w:tr w:rsidR="00FE2287" w:rsidRPr="00E4528F" w14:paraId="0EE667EA" w14:textId="77777777">
        <w:trPr>
          <w:cantSplit/>
          <w:jc w:val="center"/>
        </w:trPr>
        <w:tc>
          <w:tcPr>
            <w:tcW w:w="2232" w:type="dxa"/>
            <w:shd w:val="clear" w:color="auto" w:fill="F3F6F9"/>
            <w:tcMar>
              <w:top w:w="80" w:type="dxa"/>
              <w:left w:w="90" w:type="dxa"/>
              <w:bottom w:w="80" w:type="dxa"/>
              <w:right w:w="90" w:type="dxa"/>
            </w:tcMar>
            <w:vAlign w:val="center"/>
          </w:tcPr>
          <w:p w14:paraId="3E6067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Deployed XGBoost PR-AUC</w:t>
            </w:r>
          </w:p>
        </w:tc>
        <w:tc>
          <w:tcPr>
            <w:tcW w:w="1224" w:type="dxa"/>
            <w:shd w:val="clear" w:color="auto" w:fill="F3F6F9"/>
            <w:tcMar>
              <w:top w:w="80" w:type="dxa"/>
              <w:left w:w="90" w:type="dxa"/>
              <w:bottom w:w="80" w:type="dxa"/>
              <w:right w:w="90" w:type="dxa"/>
            </w:tcMar>
            <w:vAlign w:val="center"/>
          </w:tcPr>
          <w:p w14:paraId="136001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0.1647</w:t>
            </w:r>
          </w:p>
        </w:tc>
        <w:tc>
          <w:tcPr>
            <w:tcW w:w="2088" w:type="dxa"/>
            <w:shd w:val="clear" w:color="auto" w:fill="F3F6F9"/>
            <w:tcMar>
              <w:top w:w="80" w:type="dxa"/>
              <w:left w:w="90" w:type="dxa"/>
              <w:bottom w:w="80" w:type="dxa"/>
              <w:right w:w="90" w:type="dxa"/>
            </w:tcMar>
            <w:vAlign w:val="center"/>
          </w:tcPr>
          <w:p w14:paraId="651BCB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0.1535 to 0.1773</w:t>
            </w:r>
          </w:p>
        </w:tc>
        <w:tc>
          <w:tcPr>
            <w:tcW w:w="3096" w:type="dxa"/>
            <w:shd w:val="clear" w:color="auto" w:fill="F3F6F9"/>
            <w:tcMar>
              <w:top w:w="80" w:type="dxa"/>
              <w:left w:w="90" w:type="dxa"/>
              <w:bottom w:w="80" w:type="dxa"/>
              <w:right w:w="90" w:type="dxa"/>
            </w:tcMar>
            <w:vAlign w:val="center"/>
          </w:tcPr>
          <w:p w14:paraId="7649F9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Lower point estimate.</w:t>
            </w:r>
          </w:p>
        </w:tc>
      </w:tr>
      <w:tr w:rsidR="00FE2287" w:rsidRPr="00E4528F" w14:paraId="24B80B20" w14:textId="77777777">
        <w:trPr>
          <w:cantSplit/>
          <w:jc w:val="center"/>
        </w:trPr>
        <w:tc>
          <w:tcPr>
            <w:tcW w:w="2232" w:type="dxa"/>
            <w:tcMar>
              <w:top w:w="80" w:type="dxa"/>
              <w:left w:w="90" w:type="dxa"/>
              <w:bottom w:w="80" w:type="dxa"/>
              <w:right w:w="90" w:type="dxa"/>
            </w:tcMar>
            <w:vAlign w:val="center"/>
          </w:tcPr>
          <w:p w14:paraId="382D2D1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Tuned XGBoost PR-AUC</w:t>
            </w:r>
          </w:p>
        </w:tc>
        <w:tc>
          <w:tcPr>
            <w:tcW w:w="1224" w:type="dxa"/>
            <w:tcMar>
              <w:top w:w="80" w:type="dxa"/>
              <w:left w:w="90" w:type="dxa"/>
              <w:bottom w:w="80" w:type="dxa"/>
              <w:right w:w="90" w:type="dxa"/>
            </w:tcMar>
            <w:vAlign w:val="center"/>
          </w:tcPr>
          <w:p w14:paraId="38277D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0.1701</w:t>
            </w:r>
          </w:p>
        </w:tc>
        <w:tc>
          <w:tcPr>
            <w:tcW w:w="2088" w:type="dxa"/>
            <w:tcMar>
              <w:top w:w="80" w:type="dxa"/>
              <w:left w:w="90" w:type="dxa"/>
              <w:bottom w:w="80" w:type="dxa"/>
              <w:right w:w="90" w:type="dxa"/>
            </w:tcMar>
            <w:vAlign w:val="center"/>
          </w:tcPr>
          <w:p w14:paraId="5E1424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0.1582 to 0.1835</w:t>
            </w:r>
          </w:p>
        </w:tc>
        <w:tc>
          <w:tcPr>
            <w:tcW w:w="3096" w:type="dxa"/>
            <w:tcMar>
              <w:top w:w="80" w:type="dxa"/>
              <w:left w:w="90" w:type="dxa"/>
              <w:bottom w:w="80" w:type="dxa"/>
              <w:right w:w="90" w:type="dxa"/>
            </w:tcMar>
            <w:vAlign w:val="center"/>
          </w:tcPr>
          <w:p w14:paraId="45D2028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Recovers most of the gap.</w:t>
            </w:r>
          </w:p>
        </w:tc>
      </w:tr>
      <w:tr w:rsidR="00FE2287" w:rsidRPr="00E4528F" w14:paraId="383A9503" w14:textId="77777777">
        <w:trPr>
          <w:cantSplit/>
          <w:jc w:val="center"/>
        </w:trPr>
        <w:tc>
          <w:tcPr>
            <w:tcW w:w="2232" w:type="dxa"/>
            <w:shd w:val="clear" w:color="auto" w:fill="F3F6F9"/>
            <w:tcMar>
              <w:top w:w="80" w:type="dxa"/>
              <w:left w:w="90" w:type="dxa"/>
              <w:bottom w:w="80" w:type="dxa"/>
              <w:right w:w="90" w:type="dxa"/>
            </w:tcMar>
            <w:vAlign w:val="center"/>
          </w:tcPr>
          <w:p w14:paraId="438F9D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 deployed</w:t>
            </w:r>
          </w:p>
        </w:tc>
        <w:tc>
          <w:tcPr>
            <w:tcW w:w="1224" w:type="dxa"/>
            <w:shd w:val="clear" w:color="auto" w:fill="F3F6F9"/>
            <w:tcMar>
              <w:top w:w="80" w:type="dxa"/>
              <w:left w:w="90" w:type="dxa"/>
              <w:bottom w:w="80" w:type="dxa"/>
              <w:right w:w="90" w:type="dxa"/>
            </w:tcMar>
            <w:vAlign w:val="center"/>
          </w:tcPr>
          <w:p w14:paraId="77A566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0.0065</w:t>
            </w:r>
          </w:p>
        </w:tc>
        <w:tc>
          <w:tcPr>
            <w:tcW w:w="2088" w:type="dxa"/>
            <w:shd w:val="clear" w:color="auto" w:fill="F3F6F9"/>
            <w:tcMar>
              <w:top w:w="80" w:type="dxa"/>
              <w:left w:w="90" w:type="dxa"/>
              <w:bottom w:w="80" w:type="dxa"/>
              <w:right w:w="90" w:type="dxa"/>
            </w:tcMar>
            <w:vAlign w:val="center"/>
          </w:tcPr>
          <w:p w14:paraId="1F56B90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0.0004 to 0.0126</w:t>
            </w:r>
          </w:p>
        </w:tc>
        <w:tc>
          <w:tcPr>
            <w:tcW w:w="3096" w:type="dxa"/>
            <w:shd w:val="clear" w:color="auto" w:fill="F3F6F9"/>
            <w:tcMar>
              <w:top w:w="80" w:type="dxa"/>
              <w:left w:w="90" w:type="dxa"/>
              <w:bottom w:w="80" w:type="dxa"/>
              <w:right w:w="90" w:type="dxa"/>
            </w:tcMar>
            <w:vAlign w:val="center"/>
          </w:tcPr>
          <w:p w14:paraId="5D0587E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Small positive difference.</w:t>
            </w:r>
          </w:p>
        </w:tc>
      </w:tr>
      <w:tr w:rsidR="00FE2287" w:rsidRPr="00E4528F" w14:paraId="66DE1457" w14:textId="77777777">
        <w:trPr>
          <w:cantSplit/>
          <w:jc w:val="center"/>
        </w:trPr>
        <w:tc>
          <w:tcPr>
            <w:tcW w:w="2232" w:type="dxa"/>
            <w:tcMar>
              <w:top w:w="80" w:type="dxa"/>
              <w:left w:w="90" w:type="dxa"/>
              <w:bottom w:w="80" w:type="dxa"/>
              <w:right w:w="90" w:type="dxa"/>
            </w:tcMar>
            <w:vAlign w:val="center"/>
          </w:tcPr>
          <w:p w14:paraId="3A7358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 tuned</w:t>
            </w:r>
          </w:p>
        </w:tc>
        <w:tc>
          <w:tcPr>
            <w:tcW w:w="1224" w:type="dxa"/>
            <w:tcMar>
              <w:top w:w="80" w:type="dxa"/>
              <w:left w:w="90" w:type="dxa"/>
              <w:bottom w:w="80" w:type="dxa"/>
              <w:right w:w="90" w:type="dxa"/>
            </w:tcMar>
            <w:vAlign w:val="center"/>
          </w:tcPr>
          <w:p w14:paraId="7616FA1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0.0010</w:t>
            </w:r>
          </w:p>
        </w:tc>
        <w:tc>
          <w:tcPr>
            <w:tcW w:w="2088" w:type="dxa"/>
            <w:tcMar>
              <w:top w:w="80" w:type="dxa"/>
              <w:left w:w="90" w:type="dxa"/>
              <w:bottom w:w="80" w:type="dxa"/>
              <w:right w:w="90" w:type="dxa"/>
            </w:tcMar>
            <w:vAlign w:val="center"/>
          </w:tcPr>
          <w:p w14:paraId="6A86460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−0.0032 to 0.0053</w:t>
            </w:r>
          </w:p>
        </w:tc>
        <w:tc>
          <w:tcPr>
            <w:tcW w:w="3096" w:type="dxa"/>
            <w:tcMar>
              <w:top w:w="80" w:type="dxa"/>
              <w:left w:w="90" w:type="dxa"/>
              <w:bottom w:w="80" w:type="dxa"/>
              <w:right w:w="90" w:type="dxa"/>
            </w:tcMar>
            <w:vAlign w:val="center"/>
          </w:tcPr>
          <w:p w14:paraId="3C38B7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Difference remains uncertain.</w:t>
            </w:r>
          </w:p>
        </w:tc>
      </w:tr>
    </w:tbl>
    <w:p w14:paraId="70BF2CFD" w14:textId="77777777" w:rsidR="00FE2287" w:rsidRPr="00E4528F" w:rsidRDefault="00FE2287">
      <w:pPr>
        <w:spacing w:after="0"/>
        <w:rPr>
          <w:rFonts w:cs="Times New Roman"/>
          <w:color w:val="000000" w:themeColor="text1"/>
        </w:rPr>
      </w:pPr>
    </w:p>
    <w:p w14:paraId="712DC883"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3678DDF9" wp14:editId="55E8656F">
            <wp:extent cx="5394960" cy="3308909"/>
            <wp:effectExtent l="0" t="0" r="0" b="0"/>
            <wp:docPr id="6" name="Picture 6" descr="Bootstrap distributions for logistic regression minus deployed and tuned XGBoost PR-AUC. The tuned-model distribution spans zero." title="Figure 5.2. Paired-bootstrap PR-AUC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_pr_auc_differences.png"/>
                    <pic:cNvPicPr/>
                  </pic:nvPicPr>
                  <pic:blipFill>
                    <a:blip r:embed="rId17"/>
                    <a:stretch>
                      <a:fillRect/>
                    </a:stretch>
                  </pic:blipFill>
                  <pic:spPr>
                    <a:xfrm>
                      <a:off x="0" y="0"/>
                      <a:ext cx="5394960" cy="3308909"/>
                    </a:xfrm>
                    <a:prstGeom prst="rect">
                      <a:avLst/>
                    </a:prstGeom>
                  </pic:spPr>
                </pic:pic>
              </a:graphicData>
            </a:graphic>
          </wp:inline>
        </w:drawing>
      </w:r>
    </w:p>
    <w:p w14:paraId="04724B4B" w14:textId="77777777" w:rsidR="00FE2287" w:rsidRPr="00E4528F" w:rsidRDefault="00000000" w:rsidP="00C76C0C">
      <w:pPr>
        <w:pStyle w:val="Caption"/>
        <w:rPr>
          <w:rFonts w:cs="Times New Roman"/>
          <w:color w:val="000000" w:themeColor="text1"/>
        </w:rPr>
      </w:pPr>
      <w:bookmarkStart w:id="50" w:name="bm_fig_bootstrap"/>
      <w:r w:rsidRPr="00E4528F">
        <w:rPr>
          <w:rFonts w:cs="Times New Roman"/>
          <w:color w:val="000000" w:themeColor="text1"/>
        </w:rPr>
        <w:t>Figure 5.2. Paired-bootstrap PR-AUC differences</w:t>
      </w:r>
      <w:bookmarkEnd w:id="50"/>
    </w:p>
    <w:p w14:paraId="2FBF3FE8" w14:textId="77777777" w:rsidR="00FE2287" w:rsidRPr="00E4528F" w:rsidRDefault="00000000">
      <w:pPr>
        <w:pStyle w:val="Heading2"/>
        <w:rPr>
          <w:rFonts w:ascii="Times New Roman" w:hAnsi="Times New Roman" w:cs="Times New Roman"/>
          <w:color w:val="000000" w:themeColor="text1"/>
          <w:sz w:val="32"/>
          <w:szCs w:val="32"/>
        </w:rPr>
      </w:pPr>
      <w:bookmarkStart w:id="51" w:name="bm_s5_2"/>
      <w:r w:rsidRPr="00E4528F">
        <w:rPr>
          <w:rFonts w:ascii="Times New Roman" w:hAnsi="Times New Roman" w:cs="Times New Roman"/>
          <w:color w:val="000000" w:themeColor="text1"/>
          <w:sz w:val="32"/>
          <w:szCs w:val="32"/>
        </w:rPr>
        <w:t>5.2 Hyperparameter search</w:t>
      </w:r>
      <w:bookmarkEnd w:id="51"/>
    </w:p>
    <w:p w14:paraId="570381F2" w14:textId="77777777" w:rsidR="00FE2287" w:rsidRPr="00E4528F" w:rsidRDefault="00000000">
      <w:pPr>
        <w:rPr>
          <w:rFonts w:cs="Times New Roman"/>
          <w:color w:val="000000" w:themeColor="text1"/>
        </w:rPr>
      </w:pPr>
      <w:r w:rsidRPr="00E4528F">
        <w:rPr>
          <w:rFonts w:cs="Times New Roman"/>
          <w:color w:val="000000" w:themeColor="text1"/>
        </w:rPr>
        <w:t>The 24-trial randomised search selected a shallower model with stronger class weighting. Test PR-AUC improved from 0.1647 to 0.1701 and ROC-AUC from 0.6148 to 0.6239. However, it did not beat logistic regression and its probability calibration did not improve. This negative result is useful. Tuning changed XGBoost's behaviour, but the extra complexity still gave no clear practical advantage over the simpler baseline.</w:t>
      </w:r>
    </w:p>
    <w:p w14:paraId="3C9CF283" w14:textId="77777777" w:rsidR="00FE2287" w:rsidRPr="00E4528F" w:rsidRDefault="00000000" w:rsidP="00C76C0C">
      <w:pPr>
        <w:pStyle w:val="Caption"/>
        <w:rPr>
          <w:rFonts w:cs="Times New Roman"/>
          <w:color w:val="000000" w:themeColor="text1"/>
        </w:rPr>
      </w:pPr>
      <w:bookmarkStart w:id="52" w:name="bm_tab_search"/>
      <w:r w:rsidRPr="00E4528F">
        <w:rPr>
          <w:rFonts w:cs="Times New Roman"/>
          <w:color w:val="000000" w:themeColor="text1"/>
        </w:rPr>
        <w:t>Table 5.4. Randomised-search result</w:t>
      </w:r>
      <w:bookmarkEnd w:id="5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2232"/>
        <w:gridCol w:w="2088"/>
        <w:gridCol w:w="2232"/>
      </w:tblGrid>
      <w:tr w:rsidR="00FE2287" w:rsidRPr="00E4528F" w14:paraId="05597FDE" w14:textId="77777777">
        <w:trPr>
          <w:cantSplit/>
          <w:tblHeader/>
          <w:jc w:val="center"/>
        </w:trPr>
        <w:tc>
          <w:tcPr>
            <w:tcW w:w="2088" w:type="dxa"/>
            <w:shd w:val="clear" w:color="auto" w:fill="17365D"/>
            <w:tcMar>
              <w:top w:w="80" w:type="dxa"/>
              <w:left w:w="90" w:type="dxa"/>
              <w:bottom w:w="80" w:type="dxa"/>
              <w:right w:w="90" w:type="dxa"/>
            </w:tcMar>
            <w:vAlign w:val="center"/>
          </w:tcPr>
          <w:p w14:paraId="6C105E0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4AF36B70"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Selected value</w:t>
            </w:r>
          </w:p>
        </w:tc>
        <w:tc>
          <w:tcPr>
            <w:tcW w:w="2088" w:type="dxa"/>
            <w:shd w:val="clear" w:color="auto" w:fill="17365D"/>
            <w:tcMar>
              <w:top w:w="80" w:type="dxa"/>
              <w:left w:w="90" w:type="dxa"/>
              <w:bottom w:w="80" w:type="dxa"/>
              <w:right w:w="90" w:type="dxa"/>
            </w:tcMar>
            <w:vAlign w:val="center"/>
          </w:tcPr>
          <w:p w14:paraId="776D732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3CE7028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Selected value</w:t>
            </w:r>
          </w:p>
        </w:tc>
      </w:tr>
      <w:tr w:rsidR="00FE2287" w:rsidRPr="00E4528F" w14:paraId="07A2C53F" w14:textId="77777777">
        <w:trPr>
          <w:cantSplit/>
          <w:jc w:val="center"/>
        </w:trPr>
        <w:tc>
          <w:tcPr>
            <w:tcW w:w="2088" w:type="dxa"/>
            <w:tcMar>
              <w:top w:w="80" w:type="dxa"/>
              <w:left w:w="90" w:type="dxa"/>
              <w:bottom w:w="80" w:type="dxa"/>
              <w:right w:w="90" w:type="dxa"/>
            </w:tcMar>
            <w:vAlign w:val="center"/>
          </w:tcPr>
          <w:p w14:paraId="558B144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max_depth</w:t>
            </w:r>
          </w:p>
        </w:tc>
        <w:tc>
          <w:tcPr>
            <w:tcW w:w="2232" w:type="dxa"/>
            <w:tcMar>
              <w:top w:w="80" w:type="dxa"/>
              <w:left w:w="90" w:type="dxa"/>
              <w:bottom w:w="80" w:type="dxa"/>
              <w:right w:w="90" w:type="dxa"/>
            </w:tcMar>
            <w:vAlign w:val="center"/>
          </w:tcPr>
          <w:p w14:paraId="5396D8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3</w:t>
            </w:r>
          </w:p>
        </w:tc>
        <w:tc>
          <w:tcPr>
            <w:tcW w:w="2088" w:type="dxa"/>
            <w:tcMar>
              <w:top w:w="80" w:type="dxa"/>
              <w:left w:w="90" w:type="dxa"/>
              <w:bottom w:w="80" w:type="dxa"/>
              <w:right w:w="90" w:type="dxa"/>
            </w:tcMar>
            <w:vAlign w:val="center"/>
          </w:tcPr>
          <w:p w14:paraId="5CEBD4F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learning_rate</w:t>
            </w:r>
          </w:p>
        </w:tc>
        <w:tc>
          <w:tcPr>
            <w:tcW w:w="2232" w:type="dxa"/>
            <w:tcMar>
              <w:top w:w="80" w:type="dxa"/>
              <w:left w:w="90" w:type="dxa"/>
              <w:bottom w:w="80" w:type="dxa"/>
              <w:right w:w="90" w:type="dxa"/>
            </w:tcMar>
            <w:vAlign w:val="center"/>
          </w:tcPr>
          <w:p w14:paraId="5E5540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0.03387</w:t>
            </w:r>
          </w:p>
        </w:tc>
      </w:tr>
      <w:tr w:rsidR="00FE2287" w:rsidRPr="00E4528F" w14:paraId="6E63E409" w14:textId="77777777">
        <w:trPr>
          <w:cantSplit/>
          <w:jc w:val="center"/>
        </w:trPr>
        <w:tc>
          <w:tcPr>
            <w:tcW w:w="2088" w:type="dxa"/>
            <w:shd w:val="clear" w:color="auto" w:fill="F3F6F9"/>
            <w:tcMar>
              <w:top w:w="80" w:type="dxa"/>
              <w:left w:w="90" w:type="dxa"/>
              <w:bottom w:w="80" w:type="dxa"/>
              <w:right w:w="90" w:type="dxa"/>
            </w:tcMar>
            <w:vAlign w:val="center"/>
          </w:tcPr>
          <w:p w14:paraId="0A75C92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n_estimators</w:t>
            </w:r>
          </w:p>
        </w:tc>
        <w:tc>
          <w:tcPr>
            <w:tcW w:w="2232" w:type="dxa"/>
            <w:shd w:val="clear" w:color="auto" w:fill="F3F6F9"/>
            <w:tcMar>
              <w:top w:w="80" w:type="dxa"/>
              <w:left w:w="90" w:type="dxa"/>
              <w:bottom w:w="80" w:type="dxa"/>
              <w:right w:w="90" w:type="dxa"/>
            </w:tcMar>
            <w:vAlign w:val="center"/>
          </w:tcPr>
          <w:p w14:paraId="63B2605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350</w:t>
            </w:r>
          </w:p>
        </w:tc>
        <w:tc>
          <w:tcPr>
            <w:tcW w:w="2088" w:type="dxa"/>
            <w:shd w:val="clear" w:color="auto" w:fill="F3F6F9"/>
            <w:tcMar>
              <w:top w:w="80" w:type="dxa"/>
              <w:left w:w="90" w:type="dxa"/>
              <w:bottom w:w="80" w:type="dxa"/>
              <w:right w:w="90" w:type="dxa"/>
            </w:tcMar>
            <w:vAlign w:val="center"/>
          </w:tcPr>
          <w:p w14:paraId="4D25CF0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min_child_weight</w:t>
            </w:r>
          </w:p>
        </w:tc>
        <w:tc>
          <w:tcPr>
            <w:tcW w:w="2232" w:type="dxa"/>
            <w:shd w:val="clear" w:color="auto" w:fill="F3F6F9"/>
            <w:tcMar>
              <w:top w:w="80" w:type="dxa"/>
              <w:left w:w="90" w:type="dxa"/>
              <w:bottom w:w="80" w:type="dxa"/>
              <w:right w:w="90" w:type="dxa"/>
            </w:tcMar>
            <w:vAlign w:val="center"/>
          </w:tcPr>
          <w:p w14:paraId="3E8423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1</w:t>
            </w:r>
          </w:p>
        </w:tc>
      </w:tr>
      <w:tr w:rsidR="00FE2287" w:rsidRPr="00E4528F" w14:paraId="2DB0F899" w14:textId="77777777">
        <w:trPr>
          <w:cantSplit/>
          <w:jc w:val="center"/>
        </w:trPr>
        <w:tc>
          <w:tcPr>
            <w:tcW w:w="2088" w:type="dxa"/>
            <w:tcMar>
              <w:top w:w="80" w:type="dxa"/>
              <w:left w:w="90" w:type="dxa"/>
              <w:bottom w:w="80" w:type="dxa"/>
              <w:right w:w="90" w:type="dxa"/>
            </w:tcMar>
            <w:vAlign w:val="center"/>
          </w:tcPr>
          <w:p w14:paraId="0930276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subsample</w:t>
            </w:r>
          </w:p>
        </w:tc>
        <w:tc>
          <w:tcPr>
            <w:tcW w:w="2232" w:type="dxa"/>
            <w:tcMar>
              <w:top w:w="80" w:type="dxa"/>
              <w:left w:w="90" w:type="dxa"/>
              <w:bottom w:w="80" w:type="dxa"/>
              <w:right w:w="90" w:type="dxa"/>
            </w:tcMar>
            <w:vAlign w:val="center"/>
          </w:tcPr>
          <w:p w14:paraId="176477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0.65</w:t>
            </w:r>
          </w:p>
        </w:tc>
        <w:tc>
          <w:tcPr>
            <w:tcW w:w="2088" w:type="dxa"/>
            <w:tcMar>
              <w:top w:w="80" w:type="dxa"/>
              <w:left w:w="90" w:type="dxa"/>
              <w:bottom w:w="80" w:type="dxa"/>
              <w:right w:w="90" w:type="dxa"/>
            </w:tcMar>
            <w:vAlign w:val="center"/>
          </w:tcPr>
          <w:p w14:paraId="043A14B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colsample_bytree</w:t>
            </w:r>
          </w:p>
        </w:tc>
        <w:tc>
          <w:tcPr>
            <w:tcW w:w="2232" w:type="dxa"/>
            <w:tcMar>
              <w:top w:w="80" w:type="dxa"/>
              <w:left w:w="90" w:type="dxa"/>
              <w:bottom w:w="80" w:type="dxa"/>
              <w:right w:w="90" w:type="dxa"/>
            </w:tcMar>
            <w:vAlign w:val="center"/>
          </w:tcPr>
          <w:p w14:paraId="433A468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0.80</w:t>
            </w:r>
          </w:p>
        </w:tc>
      </w:tr>
      <w:tr w:rsidR="00FE2287" w:rsidRPr="00E4528F" w14:paraId="6D0BAE3F" w14:textId="77777777">
        <w:trPr>
          <w:cantSplit/>
          <w:jc w:val="center"/>
        </w:trPr>
        <w:tc>
          <w:tcPr>
            <w:tcW w:w="2088" w:type="dxa"/>
            <w:shd w:val="clear" w:color="auto" w:fill="F3F6F9"/>
            <w:tcMar>
              <w:top w:w="80" w:type="dxa"/>
              <w:left w:w="90" w:type="dxa"/>
              <w:bottom w:w="80" w:type="dxa"/>
              <w:right w:w="90" w:type="dxa"/>
            </w:tcMar>
            <w:vAlign w:val="center"/>
          </w:tcPr>
          <w:p w14:paraId="793DBE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reg_lambda</w:t>
            </w:r>
          </w:p>
        </w:tc>
        <w:tc>
          <w:tcPr>
            <w:tcW w:w="2232" w:type="dxa"/>
            <w:shd w:val="clear" w:color="auto" w:fill="F3F6F9"/>
            <w:tcMar>
              <w:top w:w="80" w:type="dxa"/>
              <w:left w:w="90" w:type="dxa"/>
              <w:bottom w:w="80" w:type="dxa"/>
              <w:right w:w="90" w:type="dxa"/>
            </w:tcMar>
            <w:vAlign w:val="center"/>
          </w:tcPr>
          <w:p w14:paraId="50C5FC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0.50</w:t>
            </w:r>
          </w:p>
        </w:tc>
        <w:tc>
          <w:tcPr>
            <w:tcW w:w="2088" w:type="dxa"/>
            <w:shd w:val="clear" w:color="auto" w:fill="F3F6F9"/>
            <w:tcMar>
              <w:top w:w="80" w:type="dxa"/>
              <w:left w:w="90" w:type="dxa"/>
              <w:bottom w:w="80" w:type="dxa"/>
              <w:right w:w="90" w:type="dxa"/>
            </w:tcMar>
            <w:vAlign w:val="center"/>
          </w:tcPr>
          <w:p w14:paraId="567688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scale_pos_weight</w:t>
            </w:r>
          </w:p>
        </w:tc>
        <w:tc>
          <w:tcPr>
            <w:tcW w:w="2232" w:type="dxa"/>
            <w:shd w:val="clear" w:color="auto" w:fill="F3F6F9"/>
            <w:tcMar>
              <w:top w:w="80" w:type="dxa"/>
              <w:left w:w="90" w:type="dxa"/>
              <w:bottom w:w="80" w:type="dxa"/>
              <w:right w:w="90" w:type="dxa"/>
            </w:tcMar>
            <w:vAlign w:val="center"/>
          </w:tcPr>
          <w:p w14:paraId="1C61BF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10.807</w:t>
            </w:r>
          </w:p>
        </w:tc>
      </w:tr>
      <w:tr w:rsidR="00FE2287" w:rsidRPr="00E4528F" w14:paraId="68D71E12" w14:textId="77777777">
        <w:trPr>
          <w:cantSplit/>
          <w:jc w:val="center"/>
        </w:trPr>
        <w:tc>
          <w:tcPr>
            <w:tcW w:w="2088" w:type="dxa"/>
            <w:tcMar>
              <w:top w:w="80" w:type="dxa"/>
              <w:left w:w="90" w:type="dxa"/>
              <w:bottom w:w="80" w:type="dxa"/>
              <w:right w:w="90" w:type="dxa"/>
            </w:tcMar>
            <w:vAlign w:val="center"/>
          </w:tcPr>
          <w:p w14:paraId="7428A2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Validation PR-AUC</w:t>
            </w:r>
          </w:p>
        </w:tc>
        <w:tc>
          <w:tcPr>
            <w:tcW w:w="2232" w:type="dxa"/>
            <w:tcMar>
              <w:top w:w="80" w:type="dxa"/>
              <w:left w:w="90" w:type="dxa"/>
              <w:bottom w:w="80" w:type="dxa"/>
              <w:right w:w="90" w:type="dxa"/>
            </w:tcMar>
            <w:vAlign w:val="center"/>
          </w:tcPr>
          <w:p w14:paraId="5600D62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0.1598</w:t>
            </w:r>
          </w:p>
        </w:tc>
        <w:tc>
          <w:tcPr>
            <w:tcW w:w="2088" w:type="dxa"/>
            <w:tcMar>
              <w:top w:w="80" w:type="dxa"/>
              <w:left w:w="90" w:type="dxa"/>
              <w:bottom w:w="80" w:type="dxa"/>
              <w:right w:w="90" w:type="dxa"/>
            </w:tcMar>
            <w:vAlign w:val="center"/>
          </w:tcPr>
          <w:p w14:paraId="7923F9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Validation threshold</w:t>
            </w:r>
          </w:p>
        </w:tc>
        <w:tc>
          <w:tcPr>
            <w:tcW w:w="2232" w:type="dxa"/>
            <w:tcMar>
              <w:top w:w="80" w:type="dxa"/>
              <w:left w:w="90" w:type="dxa"/>
              <w:bottom w:w="80" w:type="dxa"/>
              <w:right w:w="90" w:type="dxa"/>
            </w:tcMar>
            <w:vAlign w:val="center"/>
          </w:tcPr>
          <w:p w14:paraId="74151B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0.60</w:t>
            </w:r>
          </w:p>
        </w:tc>
      </w:tr>
    </w:tbl>
    <w:p w14:paraId="1FA979B9" w14:textId="77777777" w:rsidR="00FE2287" w:rsidRPr="00E4528F" w:rsidRDefault="00FE2287">
      <w:pPr>
        <w:spacing w:after="0"/>
        <w:rPr>
          <w:rFonts w:cs="Times New Roman"/>
          <w:color w:val="000000" w:themeColor="text1"/>
        </w:rPr>
      </w:pPr>
    </w:p>
    <w:p w14:paraId="43AF783C" w14:textId="77777777" w:rsidR="00FE2287" w:rsidRPr="00E4528F" w:rsidRDefault="00000000">
      <w:pPr>
        <w:pStyle w:val="Heading2"/>
        <w:rPr>
          <w:rFonts w:ascii="Times New Roman" w:hAnsi="Times New Roman" w:cs="Times New Roman"/>
          <w:color w:val="000000" w:themeColor="text1"/>
          <w:sz w:val="32"/>
          <w:szCs w:val="32"/>
        </w:rPr>
      </w:pPr>
      <w:bookmarkStart w:id="53" w:name="bm_s5_3"/>
      <w:r w:rsidRPr="00E4528F">
        <w:rPr>
          <w:rFonts w:ascii="Times New Roman" w:hAnsi="Times New Roman" w:cs="Times New Roman"/>
          <w:color w:val="000000" w:themeColor="text1"/>
          <w:sz w:val="32"/>
          <w:szCs w:val="32"/>
        </w:rPr>
        <w:lastRenderedPageBreak/>
        <w:t>5.3 Signal diagnostic</w:t>
      </w:r>
      <w:bookmarkEnd w:id="53"/>
    </w:p>
    <w:p w14:paraId="3DA48152" w14:textId="446D082F" w:rsidR="00FE2287" w:rsidRPr="00E4528F" w:rsidRDefault="00000000">
      <w:pPr>
        <w:rPr>
          <w:rFonts w:cs="Times New Roman"/>
          <w:color w:val="000000" w:themeColor="text1"/>
        </w:rPr>
      </w:pPr>
      <w:r w:rsidRPr="00E4528F">
        <w:rPr>
          <w:rFonts w:cs="Times New Roman"/>
          <w:color w:val="000000" w:themeColor="text1"/>
        </w:rPr>
        <w:t>The weak PR-AUC values raised a more basic question: does the admitted feature set contain signal beyond class prevalence? The retained analysis reports logistic-regression retraining after 100 independent permutations of the training labels. The observed PR-AUC of 0.1711 exceeded every permuted run</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T</w:t>
      </w:r>
      <w:r w:rsidRPr="00E4528F">
        <w:rPr>
          <w:rFonts w:cs="Times New Roman"/>
          <w:color w:val="000000" w:themeColor="text1"/>
        </w:rPr>
        <w:t>he null mean was 0.1134 and the empirical one-sided p-value was 0.0099. The conclusion is not ‘no signal’. It is that signal is statistically detectable but small under this synthetic generator and split.</w:t>
      </w:r>
    </w:p>
    <w:p w14:paraId="6B01F35D" w14:textId="77777777" w:rsidR="00FE2287" w:rsidRPr="00E4528F" w:rsidRDefault="00000000" w:rsidP="00C76C0C">
      <w:pPr>
        <w:pStyle w:val="Caption"/>
        <w:rPr>
          <w:rFonts w:cs="Times New Roman"/>
          <w:color w:val="000000" w:themeColor="text1"/>
        </w:rPr>
      </w:pPr>
      <w:bookmarkStart w:id="54" w:name="bm_tab_signal"/>
      <w:r w:rsidRPr="00E4528F">
        <w:rPr>
          <w:rFonts w:cs="Times New Roman"/>
          <w:color w:val="000000" w:themeColor="text1"/>
        </w:rPr>
        <w:t>Table 5.5. Label-permutation and mutual-information diagnostics</w:t>
      </w:r>
      <w:bookmarkEnd w:id="5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2880"/>
        <w:gridCol w:w="3528"/>
      </w:tblGrid>
      <w:tr w:rsidR="00FE2287" w:rsidRPr="00E4528F" w14:paraId="20E91AB8" w14:textId="77777777">
        <w:trPr>
          <w:cantSplit/>
          <w:tblHeader/>
          <w:jc w:val="center"/>
        </w:trPr>
        <w:tc>
          <w:tcPr>
            <w:tcW w:w="2232" w:type="dxa"/>
            <w:shd w:val="clear" w:color="auto" w:fill="17365D"/>
            <w:tcMar>
              <w:top w:w="80" w:type="dxa"/>
              <w:left w:w="90" w:type="dxa"/>
              <w:bottom w:w="80" w:type="dxa"/>
              <w:right w:w="90" w:type="dxa"/>
            </w:tcMar>
            <w:vAlign w:val="center"/>
          </w:tcPr>
          <w:p w14:paraId="44E2290D"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Diagnostic</w:t>
            </w:r>
          </w:p>
        </w:tc>
        <w:tc>
          <w:tcPr>
            <w:tcW w:w="2880" w:type="dxa"/>
            <w:shd w:val="clear" w:color="auto" w:fill="17365D"/>
            <w:tcMar>
              <w:top w:w="80" w:type="dxa"/>
              <w:left w:w="90" w:type="dxa"/>
              <w:bottom w:w="80" w:type="dxa"/>
              <w:right w:w="90" w:type="dxa"/>
            </w:tcMar>
            <w:vAlign w:val="center"/>
          </w:tcPr>
          <w:p w14:paraId="334DB1B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Result</w:t>
            </w:r>
          </w:p>
        </w:tc>
        <w:tc>
          <w:tcPr>
            <w:tcW w:w="3528" w:type="dxa"/>
            <w:shd w:val="clear" w:color="auto" w:fill="17365D"/>
            <w:tcMar>
              <w:top w:w="80" w:type="dxa"/>
              <w:left w:w="90" w:type="dxa"/>
              <w:bottom w:w="80" w:type="dxa"/>
              <w:right w:w="90" w:type="dxa"/>
            </w:tcMar>
            <w:vAlign w:val="center"/>
          </w:tcPr>
          <w:p w14:paraId="46A772B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Meaning</w:t>
            </w:r>
          </w:p>
        </w:tc>
      </w:tr>
      <w:tr w:rsidR="00FE2287" w:rsidRPr="00E4528F" w14:paraId="44A7DF9E" w14:textId="77777777">
        <w:trPr>
          <w:cantSplit/>
          <w:jc w:val="center"/>
        </w:trPr>
        <w:tc>
          <w:tcPr>
            <w:tcW w:w="2232" w:type="dxa"/>
            <w:tcMar>
              <w:top w:w="80" w:type="dxa"/>
              <w:left w:w="90" w:type="dxa"/>
              <w:bottom w:w="80" w:type="dxa"/>
              <w:right w:w="90" w:type="dxa"/>
            </w:tcMar>
            <w:vAlign w:val="center"/>
          </w:tcPr>
          <w:p w14:paraId="29B2D3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Observed logistic PR-AUC</w:t>
            </w:r>
          </w:p>
        </w:tc>
        <w:tc>
          <w:tcPr>
            <w:tcW w:w="2880" w:type="dxa"/>
            <w:tcMar>
              <w:top w:w="80" w:type="dxa"/>
              <w:left w:w="90" w:type="dxa"/>
              <w:bottom w:w="80" w:type="dxa"/>
              <w:right w:w="90" w:type="dxa"/>
            </w:tcMar>
            <w:vAlign w:val="center"/>
          </w:tcPr>
          <w:p w14:paraId="4C74E3F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0.1711</w:t>
            </w:r>
          </w:p>
        </w:tc>
        <w:tc>
          <w:tcPr>
            <w:tcW w:w="3528" w:type="dxa"/>
            <w:tcMar>
              <w:top w:w="80" w:type="dxa"/>
              <w:left w:w="90" w:type="dxa"/>
              <w:bottom w:w="80" w:type="dxa"/>
              <w:right w:w="90" w:type="dxa"/>
            </w:tcMar>
            <w:vAlign w:val="center"/>
          </w:tcPr>
          <w:p w14:paraId="3B5B9D2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Performance with intact labels.</w:t>
            </w:r>
          </w:p>
        </w:tc>
      </w:tr>
      <w:tr w:rsidR="00FE2287" w:rsidRPr="00E4528F" w14:paraId="52F660C8" w14:textId="77777777">
        <w:trPr>
          <w:cantSplit/>
          <w:jc w:val="center"/>
        </w:trPr>
        <w:tc>
          <w:tcPr>
            <w:tcW w:w="2232" w:type="dxa"/>
            <w:shd w:val="clear" w:color="auto" w:fill="F3F6F9"/>
            <w:tcMar>
              <w:top w:w="80" w:type="dxa"/>
              <w:left w:w="90" w:type="dxa"/>
              <w:bottom w:w="80" w:type="dxa"/>
              <w:right w:w="90" w:type="dxa"/>
            </w:tcMar>
            <w:vAlign w:val="center"/>
          </w:tcPr>
          <w:p w14:paraId="773A88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Permutation null</w:t>
            </w:r>
          </w:p>
        </w:tc>
        <w:tc>
          <w:tcPr>
            <w:tcW w:w="2880" w:type="dxa"/>
            <w:shd w:val="clear" w:color="auto" w:fill="F3F6F9"/>
            <w:tcMar>
              <w:top w:w="80" w:type="dxa"/>
              <w:left w:w="90" w:type="dxa"/>
              <w:bottom w:w="80" w:type="dxa"/>
              <w:right w:w="90" w:type="dxa"/>
            </w:tcMar>
            <w:vAlign w:val="center"/>
          </w:tcPr>
          <w:p w14:paraId="1B82BB96" w14:textId="1D90CCDF"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mean 0.1134</w:t>
            </w:r>
            <w:r w:rsidR="001765B6" w:rsidRPr="00E4528F">
              <w:rPr>
                <w:rFonts w:cs="Times New Roman"/>
                <w:color w:val="000000" w:themeColor="text1"/>
                <w:sz w:val="16"/>
              </w:rPr>
              <w:t xml:space="preserve">, </w:t>
            </w:r>
            <w:r w:rsidRPr="00E4528F">
              <w:rPr>
                <w:rFonts w:cs="Times New Roman"/>
                <w:color w:val="000000" w:themeColor="text1"/>
                <w:sz w:val="16"/>
              </w:rPr>
              <w:t>95% 0.0955–0.1306</w:t>
            </w:r>
          </w:p>
        </w:tc>
        <w:tc>
          <w:tcPr>
            <w:tcW w:w="3528" w:type="dxa"/>
            <w:shd w:val="clear" w:color="auto" w:fill="F3F6F9"/>
            <w:tcMar>
              <w:top w:w="80" w:type="dxa"/>
              <w:left w:w="90" w:type="dxa"/>
              <w:bottom w:w="80" w:type="dxa"/>
              <w:right w:w="90" w:type="dxa"/>
            </w:tcMar>
            <w:vAlign w:val="center"/>
          </w:tcPr>
          <w:p w14:paraId="016321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Expected after destroying label association.</w:t>
            </w:r>
          </w:p>
        </w:tc>
      </w:tr>
      <w:tr w:rsidR="00FE2287" w:rsidRPr="00E4528F" w14:paraId="459B4CD1" w14:textId="77777777">
        <w:trPr>
          <w:cantSplit/>
          <w:jc w:val="center"/>
        </w:trPr>
        <w:tc>
          <w:tcPr>
            <w:tcW w:w="2232" w:type="dxa"/>
            <w:tcMar>
              <w:top w:w="80" w:type="dxa"/>
              <w:left w:w="90" w:type="dxa"/>
              <w:bottom w:w="80" w:type="dxa"/>
              <w:right w:w="90" w:type="dxa"/>
            </w:tcMar>
            <w:vAlign w:val="center"/>
          </w:tcPr>
          <w:p w14:paraId="50EBB9B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Empirical p-value</w:t>
            </w:r>
          </w:p>
        </w:tc>
        <w:tc>
          <w:tcPr>
            <w:tcW w:w="2880" w:type="dxa"/>
            <w:tcMar>
              <w:top w:w="80" w:type="dxa"/>
              <w:left w:w="90" w:type="dxa"/>
              <w:bottom w:w="80" w:type="dxa"/>
              <w:right w:w="90" w:type="dxa"/>
            </w:tcMar>
            <w:vAlign w:val="center"/>
          </w:tcPr>
          <w:p w14:paraId="7E3F82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0.0099</w:t>
            </w:r>
          </w:p>
        </w:tc>
        <w:tc>
          <w:tcPr>
            <w:tcW w:w="3528" w:type="dxa"/>
            <w:tcMar>
              <w:top w:w="80" w:type="dxa"/>
              <w:left w:w="90" w:type="dxa"/>
              <w:bottom w:w="80" w:type="dxa"/>
              <w:right w:w="90" w:type="dxa"/>
            </w:tcMar>
            <w:vAlign w:val="center"/>
          </w:tcPr>
          <w:p w14:paraId="658BF74E" w14:textId="2818D71F"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Detectable signal</w:t>
            </w:r>
            <w:r w:rsidR="001765B6" w:rsidRPr="00E4528F">
              <w:rPr>
                <w:rFonts w:cs="Times New Roman"/>
                <w:color w:val="000000" w:themeColor="text1"/>
                <w:sz w:val="16"/>
              </w:rPr>
              <w:t>,</w:t>
            </w:r>
            <w:r w:rsidRPr="00E4528F">
              <w:rPr>
                <w:rFonts w:cs="Times New Roman"/>
                <w:color w:val="000000" w:themeColor="text1"/>
                <w:sz w:val="16"/>
              </w:rPr>
              <w:t xml:space="preserve"> not evidence of field validity.</w:t>
            </w:r>
          </w:p>
        </w:tc>
      </w:tr>
      <w:tr w:rsidR="00FE2287" w:rsidRPr="00E4528F" w14:paraId="052592F3" w14:textId="77777777">
        <w:trPr>
          <w:cantSplit/>
          <w:jc w:val="center"/>
        </w:trPr>
        <w:tc>
          <w:tcPr>
            <w:tcW w:w="2232" w:type="dxa"/>
            <w:shd w:val="clear" w:color="auto" w:fill="F3F6F9"/>
            <w:tcMar>
              <w:top w:w="80" w:type="dxa"/>
              <w:left w:w="90" w:type="dxa"/>
              <w:bottom w:w="80" w:type="dxa"/>
              <w:right w:w="90" w:type="dxa"/>
            </w:tcMar>
            <w:vAlign w:val="center"/>
          </w:tcPr>
          <w:p w14:paraId="71DED3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Largest mutual information</w:t>
            </w:r>
          </w:p>
        </w:tc>
        <w:tc>
          <w:tcPr>
            <w:tcW w:w="2880" w:type="dxa"/>
            <w:shd w:val="clear" w:color="auto" w:fill="F3F6F9"/>
            <w:tcMar>
              <w:top w:w="80" w:type="dxa"/>
              <w:left w:w="90" w:type="dxa"/>
              <w:bottom w:w="80" w:type="dxa"/>
              <w:right w:w="90" w:type="dxa"/>
            </w:tcMar>
            <w:vAlign w:val="center"/>
          </w:tcPr>
          <w:p w14:paraId="0C7147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claim_frequency 0.00339</w:t>
            </w:r>
          </w:p>
        </w:tc>
        <w:tc>
          <w:tcPr>
            <w:tcW w:w="3528" w:type="dxa"/>
            <w:shd w:val="clear" w:color="auto" w:fill="F3F6F9"/>
            <w:tcMar>
              <w:top w:w="80" w:type="dxa"/>
              <w:left w:w="90" w:type="dxa"/>
              <w:bottom w:w="80" w:type="dxa"/>
              <w:right w:w="90" w:type="dxa"/>
            </w:tcMar>
            <w:vAlign w:val="center"/>
          </w:tcPr>
          <w:p w14:paraId="70BFB2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All individual associations are very small.</w:t>
            </w:r>
          </w:p>
        </w:tc>
      </w:tr>
      <w:tr w:rsidR="00FE2287" w:rsidRPr="00E4528F" w14:paraId="341E1016" w14:textId="77777777">
        <w:trPr>
          <w:cantSplit/>
          <w:jc w:val="center"/>
        </w:trPr>
        <w:tc>
          <w:tcPr>
            <w:tcW w:w="2232" w:type="dxa"/>
            <w:tcMar>
              <w:top w:w="80" w:type="dxa"/>
              <w:left w:w="90" w:type="dxa"/>
              <w:bottom w:w="80" w:type="dxa"/>
              <w:right w:w="90" w:type="dxa"/>
            </w:tcMar>
            <w:vAlign w:val="center"/>
          </w:tcPr>
          <w:p w14:paraId="0D831E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Next variables</w:t>
            </w:r>
          </w:p>
        </w:tc>
        <w:tc>
          <w:tcPr>
            <w:tcW w:w="2880" w:type="dxa"/>
            <w:tcMar>
              <w:top w:w="80" w:type="dxa"/>
              <w:left w:w="90" w:type="dxa"/>
              <w:bottom w:w="80" w:type="dxa"/>
              <w:right w:w="90" w:type="dxa"/>
            </w:tcMar>
            <w:vAlign w:val="center"/>
          </w:tcPr>
          <w:p w14:paraId="7A233998" w14:textId="3EB6F769" w:rsidR="00FE2287" w:rsidRPr="00E4528F" w:rsidRDefault="00000000">
            <w:pPr>
              <w:spacing w:after="0" w:line="240" w:lineRule="auto"/>
              <w:rPr>
                <w:rFonts w:cs="Times New Roman"/>
                <w:color w:val="000000" w:themeColor="text1"/>
              </w:rPr>
            </w:pPr>
            <w:proofErr w:type="spellStart"/>
            <w:r w:rsidRPr="00E4528F">
              <w:rPr>
                <w:rFonts w:cs="Times New Roman"/>
                <w:color w:val="000000" w:themeColor="text1"/>
                <w:sz w:val="16"/>
              </w:rPr>
              <w:t>vehicle_age</w:t>
            </w:r>
            <w:proofErr w:type="spellEnd"/>
            <w:r w:rsidRPr="00E4528F">
              <w:rPr>
                <w:rFonts w:cs="Times New Roman"/>
                <w:color w:val="000000" w:themeColor="text1"/>
                <w:sz w:val="16"/>
              </w:rPr>
              <w:t xml:space="preserve"> 0.00326</w:t>
            </w:r>
            <w:r w:rsidR="00C74B7B" w:rsidRPr="00E4528F">
              <w:rPr>
                <w:rFonts w:cs="Times New Roman"/>
                <w:color w:val="000000" w:themeColor="text1"/>
                <w:sz w:val="16"/>
              </w:rPr>
              <w:t>,</w:t>
            </w:r>
            <w:r w:rsidRPr="00E4528F">
              <w:rPr>
                <w:rFonts w:cs="Times New Roman"/>
                <w:color w:val="000000" w:themeColor="text1"/>
                <w:sz w:val="16"/>
              </w:rPr>
              <w:t xml:space="preserve"> country 0.00290</w:t>
            </w:r>
          </w:p>
        </w:tc>
        <w:tc>
          <w:tcPr>
            <w:tcW w:w="3528" w:type="dxa"/>
            <w:tcMar>
              <w:top w:w="80" w:type="dxa"/>
              <w:left w:w="90" w:type="dxa"/>
              <w:bottom w:w="80" w:type="dxa"/>
              <w:right w:w="90" w:type="dxa"/>
            </w:tcMar>
            <w:vAlign w:val="center"/>
          </w:tcPr>
          <w:p w14:paraId="34657AA0" w14:textId="3DCAD536"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Potential generator structure audit required.</w:t>
            </w:r>
          </w:p>
        </w:tc>
      </w:tr>
    </w:tbl>
    <w:p w14:paraId="005BEC2B" w14:textId="77777777" w:rsidR="00FE2287" w:rsidRPr="00E4528F" w:rsidRDefault="00FE2287">
      <w:pPr>
        <w:spacing w:after="0"/>
        <w:rPr>
          <w:rFonts w:cs="Times New Roman"/>
          <w:color w:val="000000" w:themeColor="text1"/>
        </w:rPr>
      </w:pPr>
    </w:p>
    <w:p w14:paraId="617FEEBB"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4F883435" wp14:editId="3747A9C6">
            <wp:extent cx="5303520" cy="3314700"/>
            <wp:effectExtent l="0" t="0" r="0" b="0"/>
            <wp:docPr id="7" name="Picture 7" descr="Null distribution of logistic-regression PR-AUC after 100 training-label permutations, with the intact-label score shown separately." title="Figure 5.3. Label-permutation signal diagno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permutation_test.png"/>
                    <pic:cNvPicPr/>
                  </pic:nvPicPr>
                  <pic:blipFill>
                    <a:blip r:embed="rId18"/>
                    <a:stretch>
                      <a:fillRect/>
                    </a:stretch>
                  </pic:blipFill>
                  <pic:spPr>
                    <a:xfrm>
                      <a:off x="0" y="0"/>
                      <a:ext cx="5303520" cy="3314700"/>
                    </a:xfrm>
                    <a:prstGeom prst="rect">
                      <a:avLst/>
                    </a:prstGeom>
                  </pic:spPr>
                </pic:pic>
              </a:graphicData>
            </a:graphic>
          </wp:inline>
        </w:drawing>
      </w:r>
    </w:p>
    <w:p w14:paraId="03F67639" w14:textId="77777777" w:rsidR="00FE2287" w:rsidRPr="00E4528F" w:rsidRDefault="00000000" w:rsidP="00C76C0C">
      <w:pPr>
        <w:pStyle w:val="Caption"/>
        <w:rPr>
          <w:rFonts w:cs="Times New Roman"/>
          <w:color w:val="000000" w:themeColor="text1"/>
        </w:rPr>
      </w:pPr>
      <w:bookmarkStart w:id="55" w:name="bm_fig_permutation"/>
      <w:r w:rsidRPr="00E4528F">
        <w:rPr>
          <w:rFonts w:cs="Times New Roman"/>
          <w:color w:val="000000" w:themeColor="text1"/>
        </w:rPr>
        <w:t>Figure 5.3. Label-permutation signal diagnostic</w:t>
      </w:r>
      <w:bookmarkEnd w:id="55"/>
    </w:p>
    <w:p w14:paraId="212214FE" w14:textId="77777777" w:rsidR="00FE2287" w:rsidRPr="00E4528F" w:rsidRDefault="00000000">
      <w:pPr>
        <w:pStyle w:val="Heading2"/>
        <w:rPr>
          <w:rFonts w:ascii="Times New Roman" w:hAnsi="Times New Roman" w:cs="Times New Roman"/>
          <w:color w:val="000000" w:themeColor="text1"/>
          <w:sz w:val="32"/>
          <w:szCs w:val="32"/>
        </w:rPr>
      </w:pPr>
      <w:bookmarkStart w:id="56" w:name="bm_s5_4"/>
      <w:r w:rsidRPr="00E4528F">
        <w:rPr>
          <w:rFonts w:ascii="Times New Roman" w:hAnsi="Times New Roman" w:cs="Times New Roman"/>
          <w:color w:val="000000" w:themeColor="text1"/>
          <w:sz w:val="32"/>
          <w:szCs w:val="32"/>
        </w:rPr>
        <w:lastRenderedPageBreak/>
        <w:t>5.4 Country-level audit</w:t>
      </w:r>
      <w:bookmarkEnd w:id="56"/>
    </w:p>
    <w:p w14:paraId="338C152A" w14:textId="77777777" w:rsidR="00FE2287" w:rsidRPr="00E4528F" w:rsidRDefault="00000000">
      <w:pPr>
        <w:rPr>
          <w:rFonts w:cs="Times New Roman"/>
          <w:color w:val="000000" w:themeColor="text1"/>
        </w:rPr>
      </w:pPr>
      <w:r w:rsidRPr="00E4528F">
        <w:rPr>
          <w:rFonts w:cs="Times New Roman"/>
          <w:color w:val="000000" w:themeColor="text1"/>
        </w:rPr>
        <w:t>Country is the fourth most important SHAP feature, so the retained analysis compares selection, false-positive and false-negative rates for every country. The differences are too large to ignore. Nigeria has a selection rate of 0.897 and a false-positive rate of 0.893. Rwanda has a selection rate of 0.064 and a false-negative rate of 0.962. These values do not mean that one population commits more fraud because both the labels and country relationships are synthetic. They show that people from different locations would receive very different model treatment.</w:t>
      </w:r>
    </w:p>
    <w:p w14:paraId="2014AB46" w14:textId="77777777" w:rsidR="00FE2287" w:rsidRPr="00E4528F" w:rsidRDefault="00000000" w:rsidP="00C76C0C">
      <w:pPr>
        <w:pStyle w:val="Caption"/>
        <w:rPr>
          <w:rFonts w:cs="Times New Roman"/>
          <w:color w:val="000000" w:themeColor="text1"/>
        </w:rPr>
      </w:pPr>
      <w:bookmarkStart w:id="57" w:name="bm_tab_fairness"/>
      <w:r w:rsidRPr="00E4528F">
        <w:rPr>
          <w:rFonts w:cs="Times New Roman"/>
          <w:color w:val="000000" w:themeColor="text1"/>
        </w:rPr>
        <w:t>Table 5.6. Selected country-level error rates</w:t>
      </w:r>
      <w:bookmarkEnd w:id="5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936"/>
        <w:gridCol w:w="1440"/>
        <w:gridCol w:w="1296"/>
        <w:gridCol w:w="1037"/>
        <w:gridCol w:w="1037"/>
        <w:gridCol w:w="1224"/>
      </w:tblGrid>
      <w:tr w:rsidR="00FE2287" w:rsidRPr="00E4528F" w14:paraId="76081685" w14:textId="77777777">
        <w:trPr>
          <w:cantSplit/>
          <w:tblHeader/>
          <w:jc w:val="center"/>
        </w:trPr>
        <w:tc>
          <w:tcPr>
            <w:tcW w:w="1512" w:type="dxa"/>
            <w:shd w:val="clear" w:color="auto" w:fill="17365D"/>
            <w:tcMar>
              <w:top w:w="80" w:type="dxa"/>
              <w:left w:w="90" w:type="dxa"/>
              <w:bottom w:w="80" w:type="dxa"/>
              <w:right w:w="90" w:type="dxa"/>
            </w:tcMar>
            <w:vAlign w:val="center"/>
          </w:tcPr>
          <w:p w14:paraId="53FB6D0D"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Country</w:t>
            </w:r>
          </w:p>
        </w:tc>
        <w:tc>
          <w:tcPr>
            <w:tcW w:w="936" w:type="dxa"/>
            <w:shd w:val="clear" w:color="auto" w:fill="17365D"/>
            <w:tcMar>
              <w:top w:w="80" w:type="dxa"/>
              <w:left w:w="90" w:type="dxa"/>
              <w:bottom w:w="80" w:type="dxa"/>
              <w:right w:w="90" w:type="dxa"/>
            </w:tcMar>
            <w:vAlign w:val="center"/>
          </w:tcPr>
          <w:p w14:paraId="6F9376A5"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n</w:t>
            </w:r>
          </w:p>
        </w:tc>
        <w:tc>
          <w:tcPr>
            <w:tcW w:w="1440" w:type="dxa"/>
            <w:shd w:val="clear" w:color="auto" w:fill="17365D"/>
            <w:tcMar>
              <w:top w:w="80" w:type="dxa"/>
              <w:left w:w="90" w:type="dxa"/>
              <w:bottom w:w="80" w:type="dxa"/>
              <w:right w:w="90" w:type="dxa"/>
            </w:tcMar>
            <w:vAlign w:val="center"/>
          </w:tcPr>
          <w:p w14:paraId="073B7980"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Label prevalence</w:t>
            </w:r>
          </w:p>
        </w:tc>
        <w:tc>
          <w:tcPr>
            <w:tcW w:w="1296" w:type="dxa"/>
            <w:shd w:val="clear" w:color="auto" w:fill="17365D"/>
            <w:tcMar>
              <w:top w:w="80" w:type="dxa"/>
              <w:left w:w="90" w:type="dxa"/>
              <w:bottom w:w="80" w:type="dxa"/>
              <w:right w:w="90" w:type="dxa"/>
            </w:tcMar>
            <w:vAlign w:val="center"/>
          </w:tcPr>
          <w:p w14:paraId="0FB0EA0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Selection rate</w:t>
            </w:r>
          </w:p>
        </w:tc>
        <w:tc>
          <w:tcPr>
            <w:tcW w:w="1037" w:type="dxa"/>
            <w:shd w:val="clear" w:color="auto" w:fill="17365D"/>
            <w:tcMar>
              <w:top w:w="80" w:type="dxa"/>
              <w:left w:w="90" w:type="dxa"/>
              <w:bottom w:w="80" w:type="dxa"/>
              <w:right w:w="90" w:type="dxa"/>
            </w:tcMar>
            <w:vAlign w:val="center"/>
          </w:tcPr>
          <w:p w14:paraId="110E25A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FPR</w:t>
            </w:r>
          </w:p>
        </w:tc>
        <w:tc>
          <w:tcPr>
            <w:tcW w:w="1037" w:type="dxa"/>
            <w:shd w:val="clear" w:color="auto" w:fill="17365D"/>
            <w:tcMar>
              <w:top w:w="80" w:type="dxa"/>
              <w:left w:w="90" w:type="dxa"/>
              <w:bottom w:w="80" w:type="dxa"/>
              <w:right w:w="90" w:type="dxa"/>
            </w:tcMar>
            <w:vAlign w:val="center"/>
          </w:tcPr>
          <w:p w14:paraId="66C6F96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FNR</w:t>
            </w:r>
          </w:p>
        </w:tc>
        <w:tc>
          <w:tcPr>
            <w:tcW w:w="1224" w:type="dxa"/>
            <w:shd w:val="clear" w:color="auto" w:fill="17365D"/>
            <w:tcMar>
              <w:top w:w="80" w:type="dxa"/>
              <w:left w:w="90" w:type="dxa"/>
              <w:bottom w:w="80" w:type="dxa"/>
              <w:right w:w="90" w:type="dxa"/>
            </w:tcMar>
            <w:vAlign w:val="center"/>
          </w:tcPr>
          <w:p w14:paraId="7A5A51F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Precision</w:t>
            </w:r>
          </w:p>
        </w:tc>
      </w:tr>
      <w:tr w:rsidR="00FE2287" w:rsidRPr="00E4528F" w14:paraId="3C35AD03" w14:textId="77777777">
        <w:trPr>
          <w:cantSplit/>
          <w:jc w:val="center"/>
        </w:trPr>
        <w:tc>
          <w:tcPr>
            <w:tcW w:w="1512" w:type="dxa"/>
            <w:tcMar>
              <w:top w:w="80" w:type="dxa"/>
              <w:left w:w="90" w:type="dxa"/>
              <w:bottom w:w="80" w:type="dxa"/>
              <w:right w:w="90" w:type="dxa"/>
            </w:tcMar>
            <w:vAlign w:val="center"/>
          </w:tcPr>
          <w:p w14:paraId="2F54F4C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Nigeria</w:t>
            </w:r>
          </w:p>
        </w:tc>
        <w:tc>
          <w:tcPr>
            <w:tcW w:w="936" w:type="dxa"/>
            <w:tcMar>
              <w:top w:w="80" w:type="dxa"/>
              <w:left w:w="90" w:type="dxa"/>
              <w:bottom w:w="80" w:type="dxa"/>
              <w:right w:w="90" w:type="dxa"/>
            </w:tcMar>
            <w:vAlign w:val="center"/>
          </w:tcPr>
          <w:p w14:paraId="693EADD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1,487</w:t>
            </w:r>
          </w:p>
        </w:tc>
        <w:tc>
          <w:tcPr>
            <w:tcW w:w="1440" w:type="dxa"/>
            <w:tcMar>
              <w:top w:w="80" w:type="dxa"/>
              <w:left w:w="90" w:type="dxa"/>
              <w:bottom w:w="80" w:type="dxa"/>
              <w:right w:w="90" w:type="dxa"/>
            </w:tcMar>
            <w:vAlign w:val="center"/>
          </w:tcPr>
          <w:p w14:paraId="249FD22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0.1547</w:t>
            </w:r>
          </w:p>
        </w:tc>
        <w:tc>
          <w:tcPr>
            <w:tcW w:w="1296" w:type="dxa"/>
            <w:tcMar>
              <w:top w:w="80" w:type="dxa"/>
              <w:left w:w="90" w:type="dxa"/>
              <w:bottom w:w="80" w:type="dxa"/>
              <w:right w:w="90" w:type="dxa"/>
            </w:tcMar>
            <w:vAlign w:val="center"/>
          </w:tcPr>
          <w:p w14:paraId="224DA2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0.8971</w:t>
            </w:r>
          </w:p>
        </w:tc>
        <w:tc>
          <w:tcPr>
            <w:tcW w:w="1037" w:type="dxa"/>
            <w:tcMar>
              <w:top w:w="80" w:type="dxa"/>
              <w:left w:w="90" w:type="dxa"/>
              <w:bottom w:w="80" w:type="dxa"/>
              <w:right w:w="90" w:type="dxa"/>
            </w:tcMar>
            <w:vAlign w:val="center"/>
          </w:tcPr>
          <w:p w14:paraId="175BC5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0.8934</w:t>
            </w:r>
          </w:p>
        </w:tc>
        <w:tc>
          <w:tcPr>
            <w:tcW w:w="1037" w:type="dxa"/>
            <w:tcMar>
              <w:top w:w="80" w:type="dxa"/>
              <w:left w:w="90" w:type="dxa"/>
              <w:bottom w:w="80" w:type="dxa"/>
              <w:right w:w="90" w:type="dxa"/>
            </w:tcMar>
            <w:vAlign w:val="center"/>
          </w:tcPr>
          <w:p w14:paraId="36A42F3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0.0826</w:t>
            </w:r>
          </w:p>
        </w:tc>
        <w:tc>
          <w:tcPr>
            <w:tcW w:w="1224" w:type="dxa"/>
            <w:tcMar>
              <w:top w:w="80" w:type="dxa"/>
              <w:left w:w="90" w:type="dxa"/>
              <w:bottom w:w="80" w:type="dxa"/>
              <w:right w:w="90" w:type="dxa"/>
            </w:tcMar>
            <w:vAlign w:val="center"/>
          </w:tcPr>
          <w:p w14:paraId="53B4052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0.1582</w:t>
            </w:r>
          </w:p>
        </w:tc>
      </w:tr>
      <w:tr w:rsidR="00FE2287" w:rsidRPr="00E4528F" w14:paraId="10916CFE" w14:textId="77777777">
        <w:trPr>
          <w:cantSplit/>
          <w:jc w:val="center"/>
        </w:trPr>
        <w:tc>
          <w:tcPr>
            <w:tcW w:w="1512" w:type="dxa"/>
            <w:shd w:val="clear" w:color="auto" w:fill="F3F6F9"/>
            <w:tcMar>
              <w:top w:w="80" w:type="dxa"/>
              <w:left w:w="90" w:type="dxa"/>
              <w:bottom w:w="80" w:type="dxa"/>
              <w:right w:w="90" w:type="dxa"/>
            </w:tcMar>
            <w:vAlign w:val="center"/>
          </w:tcPr>
          <w:p w14:paraId="723B26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Rwanda</w:t>
            </w:r>
          </w:p>
        </w:tc>
        <w:tc>
          <w:tcPr>
            <w:tcW w:w="936" w:type="dxa"/>
            <w:shd w:val="clear" w:color="auto" w:fill="F3F6F9"/>
            <w:tcMar>
              <w:top w:w="80" w:type="dxa"/>
              <w:left w:w="90" w:type="dxa"/>
              <w:bottom w:w="80" w:type="dxa"/>
              <w:right w:w="90" w:type="dxa"/>
            </w:tcMar>
            <w:vAlign w:val="center"/>
          </w:tcPr>
          <w:p w14:paraId="624A8BB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926</w:t>
            </w:r>
          </w:p>
        </w:tc>
        <w:tc>
          <w:tcPr>
            <w:tcW w:w="1440" w:type="dxa"/>
            <w:shd w:val="clear" w:color="auto" w:fill="F3F6F9"/>
            <w:tcMar>
              <w:top w:w="80" w:type="dxa"/>
              <w:left w:w="90" w:type="dxa"/>
              <w:bottom w:w="80" w:type="dxa"/>
              <w:right w:w="90" w:type="dxa"/>
            </w:tcMar>
            <w:vAlign w:val="center"/>
          </w:tcPr>
          <w:p w14:paraId="60DE979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0.0562</w:t>
            </w:r>
          </w:p>
        </w:tc>
        <w:tc>
          <w:tcPr>
            <w:tcW w:w="1296" w:type="dxa"/>
            <w:shd w:val="clear" w:color="auto" w:fill="F3F6F9"/>
            <w:tcMar>
              <w:top w:w="80" w:type="dxa"/>
              <w:left w:w="90" w:type="dxa"/>
              <w:bottom w:w="80" w:type="dxa"/>
              <w:right w:w="90" w:type="dxa"/>
            </w:tcMar>
            <w:vAlign w:val="center"/>
          </w:tcPr>
          <w:p w14:paraId="566B3B5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0.0637</w:t>
            </w:r>
          </w:p>
        </w:tc>
        <w:tc>
          <w:tcPr>
            <w:tcW w:w="1037" w:type="dxa"/>
            <w:shd w:val="clear" w:color="auto" w:fill="F3F6F9"/>
            <w:tcMar>
              <w:top w:w="80" w:type="dxa"/>
              <w:left w:w="90" w:type="dxa"/>
              <w:bottom w:w="80" w:type="dxa"/>
              <w:right w:w="90" w:type="dxa"/>
            </w:tcMar>
            <w:vAlign w:val="center"/>
          </w:tcPr>
          <w:p w14:paraId="6AD0B2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0.0652</w:t>
            </w:r>
          </w:p>
        </w:tc>
        <w:tc>
          <w:tcPr>
            <w:tcW w:w="1037" w:type="dxa"/>
            <w:shd w:val="clear" w:color="auto" w:fill="F3F6F9"/>
            <w:tcMar>
              <w:top w:w="80" w:type="dxa"/>
              <w:left w:w="90" w:type="dxa"/>
              <w:bottom w:w="80" w:type="dxa"/>
              <w:right w:w="90" w:type="dxa"/>
            </w:tcMar>
            <w:vAlign w:val="center"/>
          </w:tcPr>
          <w:p w14:paraId="636E0A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0.9615</w:t>
            </w:r>
          </w:p>
        </w:tc>
        <w:tc>
          <w:tcPr>
            <w:tcW w:w="1224" w:type="dxa"/>
            <w:shd w:val="clear" w:color="auto" w:fill="F3F6F9"/>
            <w:tcMar>
              <w:top w:w="80" w:type="dxa"/>
              <w:left w:w="90" w:type="dxa"/>
              <w:bottom w:w="80" w:type="dxa"/>
              <w:right w:w="90" w:type="dxa"/>
            </w:tcMar>
            <w:vAlign w:val="center"/>
          </w:tcPr>
          <w:p w14:paraId="0F9635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0.0339</w:t>
            </w:r>
          </w:p>
        </w:tc>
      </w:tr>
      <w:tr w:rsidR="00FE2287" w:rsidRPr="00E4528F" w14:paraId="6138EBB5" w14:textId="77777777">
        <w:trPr>
          <w:cantSplit/>
          <w:jc w:val="center"/>
        </w:trPr>
        <w:tc>
          <w:tcPr>
            <w:tcW w:w="1512" w:type="dxa"/>
            <w:tcMar>
              <w:top w:w="80" w:type="dxa"/>
              <w:left w:w="90" w:type="dxa"/>
              <w:bottom w:w="80" w:type="dxa"/>
              <w:right w:w="90" w:type="dxa"/>
            </w:tcMar>
            <w:vAlign w:val="center"/>
          </w:tcPr>
          <w:p w14:paraId="360F0F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South Africa</w:t>
            </w:r>
          </w:p>
        </w:tc>
        <w:tc>
          <w:tcPr>
            <w:tcW w:w="936" w:type="dxa"/>
            <w:tcMar>
              <w:top w:w="80" w:type="dxa"/>
              <w:left w:w="90" w:type="dxa"/>
              <w:bottom w:w="80" w:type="dxa"/>
              <w:right w:w="90" w:type="dxa"/>
            </w:tcMar>
            <w:vAlign w:val="center"/>
          </w:tcPr>
          <w:p w14:paraId="7AC0A0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1,659</w:t>
            </w:r>
          </w:p>
        </w:tc>
        <w:tc>
          <w:tcPr>
            <w:tcW w:w="1440" w:type="dxa"/>
            <w:tcMar>
              <w:top w:w="80" w:type="dxa"/>
              <w:left w:w="90" w:type="dxa"/>
              <w:bottom w:w="80" w:type="dxa"/>
              <w:right w:w="90" w:type="dxa"/>
            </w:tcMar>
            <w:vAlign w:val="center"/>
          </w:tcPr>
          <w:p w14:paraId="4AC87C5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0.1272</w:t>
            </w:r>
          </w:p>
        </w:tc>
        <w:tc>
          <w:tcPr>
            <w:tcW w:w="1296" w:type="dxa"/>
            <w:tcMar>
              <w:top w:w="80" w:type="dxa"/>
              <w:left w:w="90" w:type="dxa"/>
              <w:bottom w:w="80" w:type="dxa"/>
              <w:right w:w="90" w:type="dxa"/>
            </w:tcMar>
            <w:vAlign w:val="center"/>
          </w:tcPr>
          <w:p w14:paraId="085623C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0.5986</w:t>
            </w:r>
          </w:p>
        </w:tc>
        <w:tc>
          <w:tcPr>
            <w:tcW w:w="1037" w:type="dxa"/>
            <w:tcMar>
              <w:top w:w="80" w:type="dxa"/>
              <w:left w:w="90" w:type="dxa"/>
              <w:bottom w:w="80" w:type="dxa"/>
              <w:right w:w="90" w:type="dxa"/>
            </w:tcMar>
            <w:vAlign w:val="center"/>
          </w:tcPr>
          <w:p w14:paraId="6BA7D99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0.5698</w:t>
            </w:r>
          </w:p>
        </w:tc>
        <w:tc>
          <w:tcPr>
            <w:tcW w:w="1037" w:type="dxa"/>
            <w:tcMar>
              <w:top w:w="80" w:type="dxa"/>
              <w:left w:w="90" w:type="dxa"/>
              <w:bottom w:w="80" w:type="dxa"/>
              <w:right w:w="90" w:type="dxa"/>
            </w:tcMar>
            <w:vAlign w:val="center"/>
          </w:tcPr>
          <w:p w14:paraId="215374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0.2038</w:t>
            </w:r>
          </w:p>
        </w:tc>
        <w:tc>
          <w:tcPr>
            <w:tcW w:w="1224" w:type="dxa"/>
            <w:tcMar>
              <w:top w:w="80" w:type="dxa"/>
              <w:left w:w="90" w:type="dxa"/>
              <w:bottom w:w="80" w:type="dxa"/>
              <w:right w:w="90" w:type="dxa"/>
            </w:tcMar>
            <w:vAlign w:val="center"/>
          </w:tcPr>
          <w:p w14:paraId="19AB71C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0.1692</w:t>
            </w:r>
          </w:p>
        </w:tc>
      </w:tr>
    </w:tbl>
    <w:p w14:paraId="5FB767BA" w14:textId="77777777" w:rsidR="00FE2287" w:rsidRPr="00E4528F" w:rsidRDefault="00FE2287">
      <w:pPr>
        <w:spacing w:after="0"/>
        <w:rPr>
          <w:rFonts w:cs="Times New Roman"/>
          <w:color w:val="000000" w:themeColor="text1"/>
        </w:rPr>
      </w:pPr>
    </w:p>
    <w:p w14:paraId="1A1336C5"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5348E692" wp14:editId="2EC2607B">
            <wp:extent cx="5486400" cy="2717074"/>
            <wp:effectExtent l="0" t="0" r="0" b="0"/>
            <wp:docPr id="8" name="Picture 8" descr="Country-level selection, false-positive and false-negative rates for the deployed XGBoost model on the synthetic chronological test set." title="Figure 5.4. Country-level selection and erro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19"/>
                    <a:stretch>
                      <a:fillRect/>
                    </a:stretch>
                  </pic:blipFill>
                  <pic:spPr>
                    <a:xfrm>
                      <a:off x="0" y="0"/>
                      <a:ext cx="5486400" cy="2717074"/>
                    </a:xfrm>
                    <a:prstGeom prst="rect">
                      <a:avLst/>
                    </a:prstGeom>
                  </pic:spPr>
                </pic:pic>
              </a:graphicData>
            </a:graphic>
          </wp:inline>
        </w:drawing>
      </w:r>
    </w:p>
    <w:p w14:paraId="6E28E221" w14:textId="77777777" w:rsidR="00FE2287" w:rsidRPr="00E4528F" w:rsidRDefault="00000000" w:rsidP="00C76C0C">
      <w:pPr>
        <w:pStyle w:val="Caption"/>
        <w:rPr>
          <w:rFonts w:cs="Times New Roman"/>
          <w:color w:val="000000" w:themeColor="text1"/>
        </w:rPr>
      </w:pPr>
      <w:bookmarkStart w:id="58" w:name="bm_fig_fairness"/>
      <w:r w:rsidRPr="00E4528F">
        <w:rPr>
          <w:rFonts w:cs="Times New Roman"/>
          <w:color w:val="000000" w:themeColor="text1"/>
        </w:rPr>
        <w:t>Figure 5.4. Country-level selection and error rates</w:t>
      </w:r>
      <w:bookmarkEnd w:id="58"/>
    </w:p>
    <w:p w14:paraId="3177FF87" w14:textId="7A38FD4A" w:rsidR="00FE2287" w:rsidRPr="00E4528F" w:rsidRDefault="00000000">
      <w:pPr>
        <w:rPr>
          <w:rFonts w:cs="Times New Roman"/>
          <w:color w:val="000000" w:themeColor="text1"/>
        </w:rPr>
      </w:pPr>
      <w:r w:rsidRPr="00E4528F">
        <w:rPr>
          <w:rFonts w:cs="Times New Roman"/>
          <w:color w:val="000000" w:themeColor="text1"/>
        </w:rPr>
        <w:t xml:space="preserve">Fairness metrics encode different normative choices and can conflict. The audit is therefore a screening device, not a certificate </w:t>
      </w:r>
      <w:sdt>
        <w:sdtPr>
          <w:rPr>
            <w:rFonts w:cs="Times New Roman"/>
            <w:color w:val="000000" w:themeColor="text1"/>
          </w:rPr>
          <w:id w:val="12000006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Mit21 \l 1033 </w:instrText>
          </w:r>
          <w:r w:rsidRPr="00E4528F">
            <w:rPr>
              <w:rFonts w:cs="Times New Roman"/>
              <w:color w:val="000000" w:themeColor="text1"/>
            </w:rPr>
            <w:fldChar w:fldCharType="separate"/>
          </w:r>
          <w:r w:rsidRPr="00E4528F">
            <w:rPr>
              <w:rFonts w:cs="Times New Roman"/>
              <w:noProof/>
              <w:color w:val="000000" w:themeColor="text1"/>
            </w:rPr>
            <w:t>(Mitchell et al., 2021)</w:t>
          </w:r>
          <w:r w:rsidRPr="00E4528F">
            <w:rPr>
              <w:rFonts w:cs="Times New Roman"/>
              <w:color w:val="000000" w:themeColor="text1"/>
            </w:rPr>
            <w:fldChar w:fldCharType="end"/>
          </w:r>
        </w:sdtContent>
      </w:sdt>
      <w:r w:rsidRPr="00E4528F">
        <w:rPr>
          <w:rFonts w:cs="Times New Roman"/>
          <w:color w:val="000000" w:themeColor="text1"/>
        </w:rPr>
        <w:t>. Before any real use, country should be justified, removed or constraine</w:t>
      </w:r>
      <w:r w:rsidR="00C74B7B" w:rsidRPr="00E4528F">
        <w:rPr>
          <w:rFonts w:cs="Times New Roman"/>
          <w:color w:val="000000" w:themeColor="text1"/>
        </w:rPr>
        <w:t>d.</w:t>
      </w:r>
      <w:r w:rsidRPr="00E4528F">
        <w:rPr>
          <w:rFonts w:cs="Times New Roman"/>
          <w:color w:val="000000" w:themeColor="text1"/>
        </w:rPr>
        <w:t xml:space="preserve"> </w:t>
      </w:r>
      <w:r w:rsidR="00C74B7B" w:rsidRPr="00E4528F">
        <w:rPr>
          <w:rFonts w:cs="Times New Roman"/>
          <w:color w:val="000000" w:themeColor="text1"/>
        </w:rPr>
        <w:t>R</w:t>
      </w:r>
      <w:r w:rsidRPr="00E4528F">
        <w:rPr>
          <w:rFonts w:cs="Times New Roman"/>
          <w:color w:val="000000" w:themeColor="text1"/>
        </w:rPr>
        <w:t>esults should be repeated on real governed data</w:t>
      </w:r>
      <w:r w:rsidR="00C74B7B" w:rsidRPr="00E4528F">
        <w:rPr>
          <w:rFonts w:cs="Times New Roman"/>
          <w:color w:val="000000" w:themeColor="text1"/>
        </w:rPr>
        <w:t>,</w:t>
      </w:r>
      <w:r w:rsidRPr="00E4528F">
        <w:rPr>
          <w:rFonts w:cs="Times New Roman"/>
          <w:color w:val="000000" w:themeColor="text1"/>
        </w:rPr>
        <w:t xml:space="preserve"> </w:t>
      </w:r>
      <w:r w:rsidR="005E1401" w:rsidRPr="00E4528F">
        <w:rPr>
          <w:rFonts w:cs="Times New Roman"/>
          <w:color w:val="000000" w:themeColor="text1"/>
        </w:rPr>
        <w:t>and sample sizes and confidence intervals should be reported</w:t>
      </w:r>
      <w:r w:rsidR="00CC4D6E" w:rsidRPr="00E4528F">
        <w:rPr>
          <w:rFonts w:cs="Times New Roman"/>
          <w:color w:val="000000" w:themeColor="text1"/>
        </w:rPr>
        <w:t>.</w:t>
      </w:r>
      <w:r w:rsidR="00C74B7B" w:rsidRPr="00E4528F">
        <w:rPr>
          <w:rFonts w:cs="Times New Roman"/>
          <w:color w:val="000000" w:themeColor="text1"/>
        </w:rPr>
        <w:t xml:space="preserve"> </w:t>
      </w:r>
      <w:r w:rsidR="00CC4D6E" w:rsidRPr="00E4528F">
        <w:rPr>
          <w:rFonts w:cs="Times New Roman"/>
          <w:color w:val="000000" w:themeColor="text1"/>
        </w:rPr>
        <w:t>I</w:t>
      </w:r>
      <w:r w:rsidRPr="00E4528F">
        <w:rPr>
          <w:rFonts w:cs="Times New Roman"/>
          <w:color w:val="000000" w:themeColor="text1"/>
        </w:rPr>
        <w:t>nvestigators and affected communities should help define the relevant harms. On the present evidence, the disparity is a deployment blocker.</w:t>
      </w:r>
    </w:p>
    <w:p w14:paraId="6392BB54" w14:textId="77777777" w:rsidR="00FE2287" w:rsidRPr="00E4528F" w:rsidRDefault="00000000">
      <w:pPr>
        <w:pStyle w:val="Heading2"/>
        <w:rPr>
          <w:rFonts w:ascii="Times New Roman" w:hAnsi="Times New Roman" w:cs="Times New Roman"/>
          <w:color w:val="000000" w:themeColor="text1"/>
          <w:sz w:val="32"/>
          <w:szCs w:val="32"/>
        </w:rPr>
      </w:pPr>
      <w:bookmarkStart w:id="59" w:name="bm_s5_5"/>
      <w:r w:rsidRPr="00E4528F">
        <w:rPr>
          <w:rFonts w:ascii="Times New Roman" w:hAnsi="Times New Roman" w:cs="Times New Roman"/>
          <w:color w:val="000000" w:themeColor="text1"/>
          <w:sz w:val="32"/>
          <w:szCs w:val="32"/>
        </w:rPr>
        <w:lastRenderedPageBreak/>
        <w:t>5.5 Calibration</w:t>
      </w:r>
      <w:bookmarkEnd w:id="59"/>
    </w:p>
    <w:p w14:paraId="0F2964D4" w14:textId="77777777" w:rsidR="00FE2287" w:rsidRPr="00E4528F" w:rsidRDefault="00000000">
      <w:pPr>
        <w:rPr>
          <w:rFonts w:cs="Times New Roman"/>
          <w:color w:val="000000" w:themeColor="text1"/>
        </w:rPr>
      </w:pPr>
      <w:r w:rsidRPr="00E4528F">
        <w:rPr>
          <w:rFonts w:cs="Times New Roman"/>
          <w:color w:val="000000" w:themeColor="text1"/>
        </w:rPr>
        <w:t xml:space="preserve">The reliability diagram and Brier decomposition separate ranking from probability quality. The deployed XGBoost artifact has the lowest overall Brier score, but all models show large reliability terms relative to their very small resolution terms. The tuned model is worst calibrated: its Brier score rises to 0.3086 despite better ranking. A probability presented as a literal fraud likelihood would therefore be misleading without calibration on representative later data </w:t>
      </w:r>
      <w:sdt>
        <w:sdtPr>
          <w:rPr>
            <w:rFonts w:cs="Times New Roman"/>
            <w:color w:val="000000" w:themeColor="text1"/>
          </w:rPr>
          <w:id w:val="12000006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w:instrText>
          </w:r>
          <w:r w:rsidRPr="00E4528F">
            <w:rPr>
              <w:rFonts w:cs="Times New Roman"/>
              <w:color w:val="000000" w:themeColor="text1"/>
            </w:rPr>
            <w:fldChar w:fldCharType="separate"/>
          </w:r>
          <w:r w:rsidRPr="00E4528F">
            <w:rPr>
              <w:rFonts w:cs="Times New Roman"/>
              <w:noProof/>
              <w:color w:val="000000" w:themeColor="text1"/>
            </w:rPr>
            <w:t>(Dimitriadis et al., 2024)</w:t>
          </w:r>
          <w:r w:rsidRPr="00E4528F">
            <w:rPr>
              <w:rFonts w:cs="Times New Roman"/>
              <w:color w:val="000000" w:themeColor="text1"/>
            </w:rPr>
            <w:fldChar w:fldCharType="end"/>
          </w:r>
        </w:sdtContent>
      </w:sdt>
      <w:r w:rsidRPr="00E4528F">
        <w:rPr>
          <w:rFonts w:cs="Times New Roman"/>
          <w:color w:val="000000" w:themeColor="text1"/>
        </w:rPr>
        <w:t>.</w:t>
      </w:r>
    </w:p>
    <w:p w14:paraId="420DCE4A" w14:textId="77777777" w:rsidR="00FE2287" w:rsidRPr="00E4528F" w:rsidRDefault="00000000" w:rsidP="00C76C0C">
      <w:pPr>
        <w:pStyle w:val="Caption"/>
        <w:rPr>
          <w:rFonts w:cs="Times New Roman"/>
          <w:color w:val="000000" w:themeColor="text1"/>
        </w:rPr>
      </w:pPr>
      <w:bookmarkStart w:id="60" w:name="bm_tab_calibration"/>
      <w:r w:rsidRPr="00E4528F">
        <w:rPr>
          <w:rFonts w:cs="Times New Roman"/>
          <w:color w:val="000000" w:themeColor="text1"/>
        </w:rPr>
        <w:t>Table 5.7. Brier-score decomposition</w:t>
      </w:r>
      <w:bookmarkEnd w:id="6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376"/>
        <w:gridCol w:w="1512"/>
        <w:gridCol w:w="1656"/>
        <w:gridCol w:w="1512"/>
        <w:gridCol w:w="1584"/>
      </w:tblGrid>
      <w:tr w:rsidR="00FE2287" w:rsidRPr="00E4528F" w14:paraId="04BA6443" w14:textId="77777777">
        <w:trPr>
          <w:cantSplit/>
          <w:tblHeader/>
          <w:jc w:val="center"/>
        </w:trPr>
        <w:tc>
          <w:tcPr>
            <w:tcW w:w="2376" w:type="dxa"/>
            <w:shd w:val="clear" w:color="auto" w:fill="17365D"/>
            <w:tcMar>
              <w:top w:w="80" w:type="dxa"/>
              <w:left w:w="90" w:type="dxa"/>
              <w:bottom w:w="80" w:type="dxa"/>
              <w:right w:w="90" w:type="dxa"/>
            </w:tcMar>
            <w:vAlign w:val="center"/>
          </w:tcPr>
          <w:p w14:paraId="26AFCC5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Model</w:t>
            </w:r>
          </w:p>
        </w:tc>
        <w:tc>
          <w:tcPr>
            <w:tcW w:w="1512" w:type="dxa"/>
            <w:shd w:val="clear" w:color="auto" w:fill="17365D"/>
            <w:tcMar>
              <w:top w:w="80" w:type="dxa"/>
              <w:left w:w="90" w:type="dxa"/>
              <w:bottom w:w="80" w:type="dxa"/>
              <w:right w:w="90" w:type="dxa"/>
            </w:tcMar>
            <w:vAlign w:val="center"/>
          </w:tcPr>
          <w:p w14:paraId="413F0F2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Brier</w:t>
            </w:r>
          </w:p>
        </w:tc>
        <w:tc>
          <w:tcPr>
            <w:tcW w:w="1656" w:type="dxa"/>
            <w:shd w:val="clear" w:color="auto" w:fill="17365D"/>
            <w:tcMar>
              <w:top w:w="80" w:type="dxa"/>
              <w:left w:w="90" w:type="dxa"/>
              <w:bottom w:w="80" w:type="dxa"/>
              <w:right w:w="90" w:type="dxa"/>
            </w:tcMar>
            <w:vAlign w:val="center"/>
          </w:tcPr>
          <w:p w14:paraId="2B362EE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Reliability</w:t>
            </w:r>
          </w:p>
        </w:tc>
        <w:tc>
          <w:tcPr>
            <w:tcW w:w="1512" w:type="dxa"/>
            <w:shd w:val="clear" w:color="auto" w:fill="17365D"/>
            <w:tcMar>
              <w:top w:w="80" w:type="dxa"/>
              <w:left w:w="90" w:type="dxa"/>
              <w:bottom w:w="80" w:type="dxa"/>
              <w:right w:w="90" w:type="dxa"/>
            </w:tcMar>
            <w:vAlign w:val="center"/>
          </w:tcPr>
          <w:p w14:paraId="58B3246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Resolution</w:t>
            </w:r>
          </w:p>
        </w:tc>
        <w:tc>
          <w:tcPr>
            <w:tcW w:w="1584" w:type="dxa"/>
            <w:shd w:val="clear" w:color="auto" w:fill="17365D"/>
            <w:tcMar>
              <w:top w:w="80" w:type="dxa"/>
              <w:left w:w="90" w:type="dxa"/>
              <w:bottom w:w="80" w:type="dxa"/>
              <w:right w:w="90" w:type="dxa"/>
            </w:tcMar>
            <w:vAlign w:val="center"/>
          </w:tcPr>
          <w:p w14:paraId="6B89136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Uncertainty</w:t>
            </w:r>
          </w:p>
        </w:tc>
      </w:tr>
      <w:tr w:rsidR="00FE2287" w:rsidRPr="00E4528F" w14:paraId="06288CCB" w14:textId="77777777">
        <w:trPr>
          <w:cantSplit/>
          <w:jc w:val="center"/>
        </w:trPr>
        <w:tc>
          <w:tcPr>
            <w:tcW w:w="2376" w:type="dxa"/>
            <w:tcMar>
              <w:top w:w="80" w:type="dxa"/>
              <w:left w:w="90" w:type="dxa"/>
              <w:bottom w:w="80" w:type="dxa"/>
              <w:right w:w="90" w:type="dxa"/>
            </w:tcMar>
            <w:vAlign w:val="center"/>
          </w:tcPr>
          <w:p w14:paraId="7DA50BF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Logistic regression</w:t>
            </w:r>
          </w:p>
        </w:tc>
        <w:tc>
          <w:tcPr>
            <w:tcW w:w="1512" w:type="dxa"/>
            <w:tcMar>
              <w:top w:w="80" w:type="dxa"/>
              <w:left w:w="90" w:type="dxa"/>
              <w:bottom w:w="80" w:type="dxa"/>
              <w:right w:w="90" w:type="dxa"/>
            </w:tcMar>
            <w:vAlign w:val="center"/>
          </w:tcPr>
          <w:p w14:paraId="3FC91A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0.2392</w:t>
            </w:r>
          </w:p>
        </w:tc>
        <w:tc>
          <w:tcPr>
            <w:tcW w:w="1656" w:type="dxa"/>
            <w:tcMar>
              <w:top w:w="80" w:type="dxa"/>
              <w:left w:w="90" w:type="dxa"/>
              <w:bottom w:w="80" w:type="dxa"/>
              <w:right w:w="90" w:type="dxa"/>
            </w:tcMar>
            <w:vAlign w:val="center"/>
          </w:tcPr>
          <w:p w14:paraId="2111938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0.1421</w:t>
            </w:r>
          </w:p>
        </w:tc>
        <w:tc>
          <w:tcPr>
            <w:tcW w:w="1512" w:type="dxa"/>
            <w:tcMar>
              <w:top w:w="80" w:type="dxa"/>
              <w:left w:w="90" w:type="dxa"/>
              <w:bottom w:w="80" w:type="dxa"/>
              <w:right w:w="90" w:type="dxa"/>
            </w:tcMar>
            <w:vAlign w:val="center"/>
          </w:tcPr>
          <w:p w14:paraId="3A546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0.0021</w:t>
            </w:r>
          </w:p>
        </w:tc>
        <w:tc>
          <w:tcPr>
            <w:tcW w:w="1584" w:type="dxa"/>
            <w:tcMar>
              <w:top w:w="80" w:type="dxa"/>
              <w:left w:w="90" w:type="dxa"/>
              <w:bottom w:w="80" w:type="dxa"/>
              <w:right w:w="90" w:type="dxa"/>
            </w:tcMar>
            <w:vAlign w:val="center"/>
          </w:tcPr>
          <w:p w14:paraId="53E1528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r w:rsidR="00FE2287" w:rsidRPr="00E4528F" w14:paraId="755B92CF" w14:textId="77777777">
        <w:trPr>
          <w:cantSplit/>
          <w:jc w:val="center"/>
        </w:trPr>
        <w:tc>
          <w:tcPr>
            <w:tcW w:w="2376" w:type="dxa"/>
            <w:shd w:val="clear" w:color="auto" w:fill="F3F6F9"/>
            <w:tcMar>
              <w:top w:w="80" w:type="dxa"/>
              <w:left w:w="90" w:type="dxa"/>
              <w:bottom w:w="80" w:type="dxa"/>
              <w:right w:w="90" w:type="dxa"/>
            </w:tcMar>
            <w:vAlign w:val="center"/>
          </w:tcPr>
          <w:p w14:paraId="5CAE09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Deployed XGBoost</w:t>
            </w:r>
          </w:p>
        </w:tc>
        <w:tc>
          <w:tcPr>
            <w:tcW w:w="1512" w:type="dxa"/>
            <w:shd w:val="clear" w:color="auto" w:fill="F3F6F9"/>
            <w:tcMar>
              <w:top w:w="80" w:type="dxa"/>
              <w:left w:w="90" w:type="dxa"/>
              <w:bottom w:w="80" w:type="dxa"/>
              <w:right w:w="90" w:type="dxa"/>
            </w:tcMar>
            <w:vAlign w:val="center"/>
          </w:tcPr>
          <w:p w14:paraId="1BB372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0.2213</w:t>
            </w:r>
          </w:p>
        </w:tc>
        <w:tc>
          <w:tcPr>
            <w:tcW w:w="1656" w:type="dxa"/>
            <w:shd w:val="clear" w:color="auto" w:fill="F3F6F9"/>
            <w:tcMar>
              <w:top w:w="80" w:type="dxa"/>
              <w:left w:w="90" w:type="dxa"/>
              <w:bottom w:w="80" w:type="dxa"/>
              <w:right w:w="90" w:type="dxa"/>
            </w:tcMar>
            <w:vAlign w:val="center"/>
          </w:tcPr>
          <w:p w14:paraId="4E3E4C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0.1234</w:t>
            </w:r>
          </w:p>
        </w:tc>
        <w:tc>
          <w:tcPr>
            <w:tcW w:w="1512" w:type="dxa"/>
            <w:shd w:val="clear" w:color="auto" w:fill="F3F6F9"/>
            <w:tcMar>
              <w:top w:w="80" w:type="dxa"/>
              <w:left w:w="90" w:type="dxa"/>
              <w:bottom w:w="80" w:type="dxa"/>
              <w:right w:w="90" w:type="dxa"/>
            </w:tcMar>
            <w:vAlign w:val="center"/>
          </w:tcPr>
          <w:p w14:paraId="470ED2A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0.0017</w:t>
            </w:r>
          </w:p>
        </w:tc>
        <w:tc>
          <w:tcPr>
            <w:tcW w:w="1584" w:type="dxa"/>
            <w:shd w:val="clear" w:color="auto" w:fill="F3F6F9"/>
            <w:tcMar>
              <w:top w:w="80" w:type="dxa"/>
              <w:left w:w="90" w:type="dxa"/>
              <w:bottom w:w="80" w:type="dxa"/>
              <w:right w:w="90" w:type="dxa"/>
            </w:tcMar>
            <w:vAlign w:val="center"/>
          </w:tcPr>
          <w:p w14:paraId="1EB3DE1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r w:rsidR="00FE2287" w:rsidRPr="00E4528F" w14:paraId="7F01A1DF" w14:textId="77777777">
        <w:trPr>
          <w:cantSplit/>
          <w:jc w:val="center"/>
        </w:trPr>
        <w:tc>
          <w:tcPr>
            <w:tcW w:w="2376" w:type="dxa"/>
            <w:tcMar>
              <w:top w:w="80" w:type="dxa"/>
              <w:left w:w="90" w:type="dxa"/>
              <w:bottom w:w="80" w:type="dxa"/>
              <w:right w:w="90" w:type="dxa"/>
            </w:tcMar>
            <w:vAlign w:val="center"/>
          </w:tcPr>
          <w:p w14:paraId="551BFE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Tuned XGBoost</w:t>
            </w:r>
          </w:p>
        </w:tc>
        <w:tc>
          <w:tcPr>
            <w:tcW w:w="1512" w:type="dxa"/>
            <w:tcMar>
              <w:top w:w="80" w:type="dxa"/>
              <w:left w:w="90" w:type="dxa"/>
              <w:bottom w:w="80" w:type="dxa"/>
              <w:right w:w="90" w:type="dxa"/>
            </w:tcMar>
            <w:vAlign w:val="center"/>
          </w:tcPr>
          <w:p w14:paraId="2DFE11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0.3086</w:t>
            </w:r>
          </w:p>
        </w:tc>
        <w:tc>
          <w:tcPr>
            <w:tcW w:w="1656" w:type="dxa"/>
            <w:tcMar>
              <w:top w:w="80" w:type="dxa"/>
              <w:left w:w="90" w:type="dxa"/>
              <w:bottom w:w="80" w:type="dxa"/>
              <w:right w:w="90" w:type="dxa"/>
            </w:tcMar>
            <w:vAlign w:val="center"/>
          </w:tcPr>
          <w:p w14:paraId="06EE14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0.2110</w:t>
            </w:r>
          </w:p>
        </w:tc>
        <w:tc>
          <w:tcPr>
            <w:tcW w:w="1512" w:type="dxa"/>
            <w:tcMar>
              <w:top w:w="80" w:type="dxa"/>
              <w:left w:w="90" w:type="dxa"/>
              <w:bottom w:w="80" w:type="dxa"/>
              <w:right w:w="90" w:type="dxa"/>
            </w:tcMar>
            <w:vAlign w:val="center"/>
          </w:tcPr>
          <w:p w14:paraId="768E9CA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0.0020</w:t>
            </w:r>
          </w:p>
        </w:tc>
        <w:tc>
          <w:tcPr>
            <w:tcW w:w="1584" w:type="dxa"/>
            <w:tcMar>
              <w:top w:w="80" w:type="dxa"/>
              <w:left w:w="90" w:type="dxa"/>
              <w:bottom w:w="80" w:type="dxa"/>
              <w:right w:w="90" w:type="dxa"/>
            </w:tcMar>
            <w:vAlign w:val="center"/>
          </w:tcPr>
          <w:p w14:paraId="581D81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bl>
    <w:p w14:paraId="7CABD94D" w14:textId="77777777" w:rsidR="00FE2287" w:rsidRPr="00E4528F" w:rsidRDefault="00FE2287">
      <w:pPr>
        <w:spacing w:after="0"/>
        <w:rPr>
          <w:rFonts w:cs="Times New Roman"/>
          <w:color w:val="000000" w:themeColor="text1"/>
        </w:rPr>
      </w:pPr>
    </w:p>
    <w:p w14:paraId="67BC5163"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71FC28AB" wp14:editId="71B12E17">
            <wp:extent cx="5303520" cy="4419600"/>
            <wp:effectExtent l="0" t="0" r="0" b="0"/>
            <wp:docPr id="9" name="Picture 9" descr="Quantile-binned predicted probabilities against observed synthetic-label frequency for logistic regression, deployed XGBoost and tuned XGBoost." title="Figure 5.5. Reliabil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agram.png"/>
                    <pic:cNvPicPr/>
                  </pic:nvPicPr>
                  <pic:blipFill>
                    <a:blip r:embed="rId20"/>
                    <a:stretch>
                      <a:fillRect/>
                    </a:stretch>
                  </pic:blipFill>
                  <pic:spPr>
                    <a:xfrm>
                      <a:off x="0" y="0"/>
                      <a:ext cx="5303520" cy="4419600"/>
                    </a:xfrm>
                    <a:prstGeom prst="rect">
                      <a:avLst/>
                    </a:prstGeom>
                  </pic:spPr>
                </pic:pic>
              </a:graphicData>
            </a:graphic>
          </wp:inline>
        </w:drawing>
      </w:r>
    </w:p>
    <w:p w14:paraId="3E8B2AE4" w14:textId="77777777" w:rsidR="00FE2287" w:rsidRPr="00E4528F" w:rsidRDefault="00000000" w:rsidP="00C76C0C">
      <w:pPr>
        <w:pStyle w:val="Caption"/>
        <w:rPr>
          <w:rFonts w:cs="Times New Roman"/>
          <w:color w:val="000000" w:themeColor="text1"/>
        </w:rPr>
      </w:pPr>
      <w:bookmarkStart w:id="61" w:name="bm_fig_reliability"/>
      <w:r w:rsidRPr="00E4528F">
        <w:rPr>
          <w:rFonts w:cs="Times New Roman"/>
          <w:color w:val="000000" w:themeColor="text1"/>
        </w:rPr>
        <w:t>Figure 5.5. Reliability diagram</w:t>
      </w:r>
      <w:bookmarkEnd w:id="61"/>
    </w:p>
    <w:p w14:paraId="7BF94431" w14:textId="77777777" w:rsidR="00FE2287" w:rsidRPr="00E4528F" w:rsidRDefault="00000000">
      <w:pPr>
        <w:pStyle w:val="Heading2"/>
        <w:rPr>
          <w:rFonts w:ascii="Times New Roman" w:hAnsi="Times New Roman" w:cs="Times New Roman"/>
          <w:color w:val="000000" w:themeColor="text1"/>
          <w:sz w:val="32"/>
          <w:szCs w:val="32"/>
        </w:rPr>
      </w:pPr>
      <w:bookmarkStart w:id="62" w:name="bm_s5_6"/>
      <w:r w:rsidRPr="00E4528F">
        <w:rPr>
          <w:rFonts w:ascii="Times New Roman" w:hAnsi="Times New Roman" w:cs="Times New Roman"/>
          <w:color w:val="000000" w:themeColor="text1"/>
          <w:sz w:val="32"/>
          <w:szCs w:val="32"/>
        </w:rPr>
        <w:lastRenderedPageBreak/>
        <w:t>5.6 System-evaluation boundary</w:t>
      </w:r>
      <w:bookmarkEnd w:id="62"/>
    </w:p>
    <w:p w14:paraId="24BA0410" w14:textId="77777777" w:rsidR="00FE2287" w:rsidRPr="00E4528F" w:rsidRDefault="00000000">
      <w:pPr>
        <w:rPr>
          <w:rFonts w:cs="Times New Roman"/>
          <w:color w:val="000000" w:themeColor="text1"/>
        </w:rPr>
      </w:pPr>
      <w:r w:rsidRPr="00E4528F">
        <w:rPr>
          <w:rFonts w:cs="Times New Roman"/>
          <w:color w:val="000000" w:themeColor="text1"/>
        </w:rPr>
        <w:t xml:space="preserve">Functional evidence supports authorisation, content binding, replay-aware delivery, versioned scoring and representative user flows. It does not show production capacity. No controlled p50/p95/p99 latency, throughput, gas distribution, listener lag, queue depth or recovery-time benchmark was retained. No post hoc measurements are presented. A later benchmark must declare hardware and workloads, repeat runs, report uncertainty and inject failures at each commit boundary </w:t>
      </w:r>
      <w:sdt>
        <w:sdtPr>
          <w:rPr>
            <w:rFonts w:cs="Times New Roman"/>
            <w:color w:val="000000" w:themeColor="text1"/>
          </w:rPr>
          <w:id w:val="12000006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rsidRPr="00E4528F">
        <w:rPr>
          <w:rFonts w:cs="Times New Roman"/>
          <w:color w:val="000000" w:themeColor="text1"/>
        </w:rPr>
        <w:t>.</w:t>
      </w:r>
    </w:p>
    <w:p w14:paraId="0F3AA1D2" w14:textId="77777777" w:rsidR="00FE2287" w:rsidRPr="00E4528F" w:rsidRDefault="00000000">
      <w:pPr>
        <w:pStyle w:val="Heading1"/>
        <w:pageBreakBefore/>
        <w:rPr>
          <w:rFonts w:ascii="Times New Roman" w:hAnsi="Times New Roman" w:cs="Times New Roman"/>
          <w:color w:val="000000" w:themeColor="text1"/>
          <w:sz w:val="40"/>
          <w:szCs w:val="40"/>
        </w:rPr>
      </w:pPr>
      <w:bookmarkStart w:id="63" w:name="bm_ch6"/>
      <w:r w:rsidRPr="00E4528F">
        <w:rPr>
          <w:rFonts w:ascii="Times New Roman" w:hAnsi="Times New Roman" w:cs="Times New Roman"/>
          <w:color w:val="000000" w:themeColor="text1"/>
          <w:sz w:val="40"/>
          <w:szCs w:val="40"/>
        </w:rPr>
        <w:lastRenderedPageBreak/>
        <w:t>Chapter 6: Discussion</w:t>
      </w:r>
      <w:bookmarkEnd w:id="63"/>
    </w:p>
    <w:p w14:paraId="575EBE1E" w14:textId="77777777" w:rsidR="00FE2287" w:rsidRPr="00E4528F" w:rsidRDefault="00000000">
      <w:pPr>
        <w:rPr>
          <w:rFonts w:cs="Times New Roman"/>
          <w:color w:val="000000" w:themeColor="text1"/>
        </w:rPr>
      </w:pPr>
      <w:r w:rsidRPr="00E4528F">
        <w:rPr>
          <w:rFonts w:cs="Times New Roman"/>
          <w:color w:val="000000" w:themeColor="text1"/>
        </w:rPr>
        <w:t>The results support a more limited claim than saying that blockchain improves fraud detection. The registry provides an attributable event history and forward-only state. The model provides reproducible triage behaviour. The registry does not make the model accurate, and the model does not make the registry private or scalable. The combined design is useful only when these boundaries and failure cases remain clear.</w:t>
      </w:r>
    </w:p>
    <w:p w14:paraId="68B07404" w14:textId="77777777" w:rsidR="00FE2287" w:rsidRPr="00E4528F" w:rsidRDefault="00000000">
      <w:pPr>
        <w:pStyle w:val="Heading2"/>
        <w:rPr>
          <w:rFonts w:ascii="Times New Roman" w:hAnsi="Times New Roman" w:cs="Times New Roman"/>
          <w:color w:val="000000" w:themeColor="text1"/>
          <w:sz w:val="32"/>
          <w:szCs w:val="32"/>
        </w:rPr>
      </w:pPr>
      <w:bookmarkStart w:id="64" w:name="bm_s6_1"/>
      <w:r w:rsidRPr="00E4528F">
        <w:rPr>
          <w:rFonts w:ascii="Times New Roman" w:hAnsi="Times New Roman" w:cs="Times New Roman"/>
          <w:color w:val="000000" w:themeColor="text1"/>
          <w:sz w:val="32"/>
          <w:szCs w:val="32"/>
        </w:rPr>
        <w:t>6.1 Interpretation against the literature</w:t>
      </w:r>
      <w:bookmarkEnd w:id="64"/>
    </w:p>
    <w:p w14:paraId="545FA59A" w14:textId="3FA40D9F" w:rsidR="00FE2287" w:rsidRPr="00E4528F" w:rsidRDefault="00000000">
      <w:pPr>
        <w:rPr>
          <w:rFonts w:cs="Times New Roman"/>
          <w:color w:val="000000" w:themeColor="text1"/>
        </w:rPr>
      </w:pPr>
      <w:r w:rsidRPr="00E4528F">
        <w:rPr>
          <w:rFonts w:cs="Times New Roman"/>
          <w:color w:val="000000" w:themeColor="text1"/>
        </w:rPr>
        <w:t xml:space="preserve">The implemented lifecycle is consistent with recent insurance research showing that smart contracts can make claims actions traceable, while this study deliberately stores less business data </w:t>
      </w:r>
      <w:r w:rsidR="001765B6" w:rsidRPr="00E4528F">
        <w:rPr>
          <w:rFonts w:cs="Times New Roman"/>
          <w:color w:val="000000" w:themeColor="text1"/>
        </w:rPr>
        <w:t>on chain</w:t>
      </w:r>
      <w:r w:rsidRPr="00E4528F">
        <w:rPr>
          <w:rFonts w:cs="Times New Roman"/>
          <w:color w:val="000000" w:themeColor="text1"/>
        </w:rPr>
        <w:t xml:space="preserve"> </w:t>
      </w:r>
      <w:sdt>
        <w:sdtPr>
          <w:rPr>
            <w:rFonts w:cs="Times New Roman"/>
            <w:color w:val="000000" w:themeColor="text1"/>
          </w:rPr>
          <w:id w:val="12000006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Che21 \l 1033  \m Jen24</w:instrText>
          </w:r>
          <w:r w:rsidRPr="00E4528F">
            <w:rPr>
              <w:rFonts w:cs="Times New Roman"/>
              <w:color w:val="000000" w:themeColor="text1"/>
            </w:rPr>
            <w:fldChar w:fldCharType="separate"/>
          </w:r>
          <w:r w:rsidRPr="00E4528F">
            <w:rPr>
              <w:rFonts w:cs="Times New Roman"/>
              <w:noProof/>
              <w:color w:val="000000" w:themeColor="text1"/>
            </w:rPr>
            <w:t>(Chen et al., 2021; Jena et al., 2024)</w:t>
          </w:r>
          <w:r w:rsidRPr="00E4528F">
            <w:rPr>
              <w:rFonts w:cs="Times New Roman"/>
              <w:color w:val="000000" w:themeColor="text1"/>
            </w:rPr>
            <w:fldChar w:fldCharType="end"/>
          </w:r>
        </w:sdtContent>
      </w:sdt>
      <w:r w:rsidRPr="00E4528F">
        <w:rPr>
          <w:rFonts w:cs="Times New Roman"/>
          <w:color w:val="000000" w:themeColor="text1"/>
        </w:rPr>
        <w:t xml:space="preserve">. That restraint matters because content addressing and ledger immutability create new persistence and linkability risks rather than dissolving governance. The result also agrees with EIOPA’s </w:t>
      </w:r>
      <w:r w:rsidR="00461422">
        <w:rPr>
          <w:rFonts w:cs="Times New Roman"/>
          <w:color w:val="000000" w:themeColor="text1"/>
        </w:rPr>
        <w:t xml:space="preserve">(European Insurance and Occupational Pensions Authority) </w:t>
      </w:r>
      <w:r w:rsidRPr="00E4528F">
        <w:rPr>
          <w:rFonts w:cs="Times New Roman"/>
          <w:color w:val="000000" w:themeColor="text1"/>
        </w:rPr>
        <w:t>use-case-specific position</w:t>
      </w:r>
      <w:r w:rsidR="00461422">
        <w:rPr>
          <w:rFonts w:cs="Times New Roman"/>
          <w:color w:val="000000" w:themeColor="text1"/>
        </w:rPr>
        <w:t>.</w:t>
      </w:r>
      <w:r w:rsidRPr="00E4528F">
        <w:rPr>
          <w:rFonts w:cs="Times New Roman"/>
          <w:color w:val="000000" w:themeColor="text1"/>
        </w:rPr>
        <w:t xml:space="preserve"> </w:t>
      </w:r>
      <w:r w:rsidR="00461422">
        <w:rPr>
          <w:rFonts w:cs="Times New Roman"/>
          <w:color w:val="000000" w:themeColor="text1"/>
        </w:rPr>
        <w:t>A</w:t>
      </w:r>
      <w:r w:rsidRPr="00E4528F">
        <w:rPr>
          <w:rFonts w:cs="Times New Roman"/>
          <w:color w:val="000000" w:themeColor="text1"/>
        </w:rPr>
        <w:t xml:space="preserve"> ledger should be justified by inter-organisational verification needs, not selected as a default database </w:t>
      </w:r>
      <w:sdt>
        <w:sdtPr>
          <w:rPr>
            <w:rFonts w:cs="Times New Roman"/>
            <w:color w:val="000000" w:themeColor="text1"/>
          </w:rPr>
          <w:id w:val="12000006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w:t>
      </w:r>
    </w:p>
    <w:p w14:paraId="7460F137" w14:textId="77777777" w:rsidR="00FE2287" w:rsidRPr="00E4528F" w:rsidRDefault="00000000">
      <w:pPr>
        <w:rPr>
          <w:rFonts w:cs="Times New Roman"/>
          <w:color w:val="000000" w:themeColor="text1"/>
        </w:rPr>
      </w:pPr>
      <w:r w:rsidRPr="00E4528F">
        <w:rPr>
          <w:rFonts w:cs="Times New Roman"/>
          <w:color w:val="000000" w:themeColor="text1"/>
        </w:rPr>
        <w:t xml:space="preserve">On prediction, the study qualifies performance claims drawn from balanced or curated datasets. The paired bootstrap shows that the original small PR-AUC gap is unlikely to be sampling noise within this test set, but tuning removes any clear difference while damaging calibration. Combined with the very low mutual-information values, this suggests a weak tabular discrimination problem in which a simple baseline is difficult to beat. The permutation result confirms association under the generator, not real insurance validity </w:t>
      </w:r>
      <w:sdt>
        <w:sdtPr>
          <w:rPr>
            <w:rFonts w:cs="Times New Roman"/>
            <w:color w:val="000000" w:themeColor="text1"/>
          </w:rPr>
          <w:id w:val="12000007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Sch24</w:instrText>
          </w:r>
          <w:r w:rsidRPr="00E4528F">
            <w:rPr>
              <w:rFonts w:cs="Times New Roman"/>
              <w:color w:val="000000" w:themeColor="text1"/>
            </w:rPr>
            <w:fldChar w:fldCharType="separate"/>
          </w:r>
          <w:r w:rsidRPr="00E4528F">
            <w:rPr>
              <w:rFonts w:cs="Times New Roman"/>
              <w:noProof/>
              <w:color w:val="000000" w:themeColor="text1"/>
            </w:rPr>
            <w:t>(Debener, Heinke and Kriebel, 2023; Schrijver, Sarmah and El-Hajj, 2024)</w:t>
          </w:r>
          <w:r w:rsidRPr="00E4528F">
            <w:rPr>
              <w:rFonts w:cs="Times New Roman"/>
              <w:color w:val="000000" w:themeColor="text1"/>
            </w:rPr>
            <w:fldChar w:fldCharType="end"/>
          </w:r>
        </w:sdtContent>
      </w:sdt>
      <w:r w:rsidRPr="00E4528F">
        <w:rPr>
          <w:rFonts w:cs="Times New Roman"/>
          <w:color w:val="000000" w:themeColor="text1"/>
        </w:rPr>
        <w:t>.</w:t>
      </w:r>
    </w:p>
    <w:p w14:paraId="4612B6E1" w14:textId="77777777" w:rsidR="00FE2287" w:rsidRPr="00E4528F" w:rsidRDefault="00000000">
      <w:pPr>
        <w:pStyle w:val="Heading2"/>
        <w:rPr>
          <w:rFonts w:ascii="Times New Roman" w:hAnsi="Times New Roman" w:cs="Times New Roman"/>
          <w:color w:val="000000" w:themeColor="text1"/>
          <w:sz w:val="32"/>
          <w:szCs w:val="32"/>
        </w:rPr>
      </w:pPr>
      <w:bookmarkStart w:id="65" w:name="bm_s6_2"/>
      <w:r w:rsidRPr="00E4528F">
        <w:rPr>
          <w:rFonts w:ascii="Times New Roman" w:hAnsi="Times New Roman" w:cs="Times New Roman"/>
          <w:color w:val="000000" w:themeColor="text1"/>
          <w:sz w:val="32"/>
          <w:szCs w:val="32"/>
        </w:rPr>
        <w:t>6.2 Answer to the research question</w:t>
      </w:r>
      <w:bookmarkEnd w:id="65"/>
    </w:p>
    <w:p w14:paraId="56FE9ECB" w14:textId="77777777" w:rsidR="00FE2287" w:rsidRPr="00E4528F" w:rsidRDefault="00000000" w:rsidP="00C76C0C">
      <w:pPr>
        <w:pStyle w:val="Caption"/>
        <w:rPr>
          <w:rFonts w:cs="Times New Roman"/>
          <w:color w:val="000000" w:themeColor="text1"/>
        </w:rPr>
      </w:pPr>
      <w:bookmarkStart w:id="66" w:name="bm_tab_objectives"/>
      <w:r w:rsidRPr="00E4528F">
        <w:rPr>
          <w:rFonts w:cs="Times New Roman"/>
          <w:color w:val="000000" w:themeColor="text1"/>
        </w:rPr>
        <w:t>Table 6.1. Research-objective assessment</w:t>
      </w:r>
      <w:bookmarkEnd w:id="6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368"/>
        <w:gridCol w:w="1440"/>
        <w:gridCol w:w="3168"/>
        <w:gridCol w:w="2664"/>
      </w:tblGrid>
      <w:tr w:rsidR="00FE2287" w:rsidRPr="00E4528F" w14:paraId="02EBE22B" w14:textId="77777777">
        <w:trPr>
          <w:cantSplit/>
          <w:tblHeader/>
          <w:jc w:val="center"/>
        </w:trPr>
        <w:tc>
          <w:tcPr>
            <w:tcW w:w="1368" w:type="dxa"/>
            <w:shd w:val="clear" w:color="auto" w:fill="17365D"/>
            <w:tcMar>
              <w:top w:w="80" w:type="dxa"/>
              <w:left w:w="90" w:type="dxa"/>
              <w:bottom w:w="80" w:type="dxa"/>
              <w:right w:w="90" w:type="dxa"/>
            </w:tcMar>
            <w:vAlign w:val="center"/>
          </w:tcPr>
          <w:p w14:paraId="011EAF69"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Objective</w:t>
            </w:r>
          </w:p>
        </w:tc>
        <w:tc>
          <w:tcPr>
            <w:tcW w:w="1440" w:type="dxa"/>
            <w:shd w:val="clear" w:color="auto" w:fill="17365D"/>
            <w:tcMar>
              <w:top w:w="80" w:type="dxa"/>
              <w:left w:w="90" w:type="dxa"/>
              <w:bottom w:w="80" w:type="dxa"/>
              <w:right w:w="90" w:type="dxa"/>
            </w:tcMar>
            <w:vAlign w:val="center"/>
          </w:tcPr>
          <w:p w14:paraId="113C049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Assessment</w:t>
            </w:r>
          </w:p>
        </w:tc>
        <w:tc>
          <w:tcPr>
            <w:tcW w:w="3168" w:type="dxa"/>
            <w:shd w:val="clear" w:color="auto" w:fill="17365D"/>
            <w:tcMar>
              <w:top w:w="80" w:type="dxa"/>
              <w:left w:w="90" w:type="dxa"/>
              <w:bottom w:w="80" w:type="dxa"/>
              <w:right w:w="90" w:type="dxa"/>
            </w:tcMar>
            <w:vAlign w:val="center"/>
          </w:tcPr>
          <w:p w14:paraId="46881C1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Strongest evidence</w:t>
            </w:r>
          </w:p>
        </w:tc>
        <w:tc>
          <w:tcPr>
            <w:tcW w:w="2664" w:type="dxa"/>
            <w:shd w:val="clear" w:color="auto" w:fill="17365D"/>
            <w:tcMar>
              <w:top w:w="80" w:type="dxa"/>
              <w:left w:w="90" w:type="dxa"/>
              <w:bottom w:w="80" w:type="dxa"/>
              <w:right w:w="90" w:type="dxa"/>
            </w:tcMar>
            <w:vAlign w:val="center"/>
          </w:tcPr>
          <w:p w14:paraId="6EA9CB5F"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Remaining boundary</w:t>
            </w:r>
          </w:p>
        </w:tc>
      </w:tr>
      <w:tr w:rsidR="00FE2287" w:rsidRPr="00E4528F" w14:paraId="3A4A3EC3" w14:textId="77777777">
        <w:trPr>
          <w:cantSplit/>
          <w:jc w:val="center"/>
        </w:trPr>
        <w:tc>
          <w:tcPr>
            <w:tcW w:w="1368" w:type="dxa"/>
            <w:tcMar>
              <w:top w:w="80" w:type="dxa"/>
              <w:left w:w="90" w:type="dxa"/>
              <w:bottom w:w="80" w:type="dxa"/>
              <w:right w:w="90" w:type="dxa"/>
            </w:tcMar>
            <w:vAlign w:val="center"/>
          </w:tcPr>
          <w:p w14:paraId="2E50394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O1 Synthesis</w:t>
            </w:r>
          </w:p>
        </w:tc>
        <w:tc>
          <w:tcPr>
            <w:tcW w:w="1440" w:type="dxa"/>
            <w:tcMar>
              <w:top w:w="80" w:type="dxa"/>
              <w:left w:w="90" w:type="dxa"/>
              <w:bottom w:w="80" w:type="dxa"/>
              <w:right w:w="90" w:type="dxa"/>
            </w:tcMar>
            <w:vAlign w:val="center"/>
          </w:tcPr>
          <w:p w14:paraId="56B13D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689E60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Critical review and explicit gap.</w:t>
            </w:r>
          </w:p>
        </w:tc>
        <w:tc>
          <w:tcPr>
            <w:tcW w:w="2664" w:type="dxa"/>
            <w:tcMar>
              <w:top w:w="80" w:type="dxa"/>
              <w:left w:w="90" w:type="dxa"/>
              <w:bottom w:w="80" w:type="dxa"/>
              <w:right w:w="90" w:type="dxa"/>
            </w:tcMar>
            <w:vAlign w:val="center"/>
          </w:tcPr>
          <w:p w14:paraId="1ED7079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Fast-moving regulation and technical practice.</w:t>
            </w:r>
          </w:p>
        </w:tc>
      </w:tr>
      <w:tr w:rsidR="00FE2287" w:rsidRPr="00E4528F" w14:paraId="216B0E32" w14:textId="77777777">
        <w:trPr>
          <w:cantSplit/>
          <w:jc w:val="center"/>
        </w:trPr>
        <w:tc>
          <w:tcPr>
            <w:tcW w:w="1368" w:type="dxa"/>
            <w:shd w:val="clear" w:color="auto" w:fill="F3F6F9"/>
            <w:tcMar>
              <w:top w:w="80" w:type="dxa"/>
              <w:left w:w="90" w:type="dxa"/>
              <w:bottom w:w="80" w:type="dxa"/>
              <w:right w:w="90" w:type="dxa"/>
            </w:tcMar>
            <w:vAlign w:val="center"/>
          </w:tcPr>
          <w:p w14:paraId="4D5686B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O2 Design</w:t>
            </w:r>
          </w:p>
        </w:tc>
        <w:tc>
          <w:tcPr>
            <w:tcW w:w="1440" w:type="dxa"/>
            <w:shd w:val="clear" w:color="auto" w:fill="F3F6F9"/>
            <w:tcMar>
              <w:top w:w="80" w:type="dxa"/>
              <w:left w:w="90" w:type="dxa"/>
              <w:bottom w:w="80" w:type="dxa"/>
              <w:right w:w="90" w:type="dxa"/>
            </w:tcMar>
            <w:vAlign w:val="center"/>
          </w:tcPr>
          <w:p w14:paraId="0B7A3B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Prototype achieved</w:t>
            </w:r>
          </w:p>
        </w:tc>
        <w:tc>
          <w:tcPr>
            <w:tcW w:w="3168" w:type="dxa"/>
            <w:shd w:val="clear" w:color="auto" w:fill="F3F6F9"/>
            <w:tcMar>
              <w:top w:w="80" w:type="dxa"/>
              <w:left w:w="90" w:type="dxa"/>
              <w:bottom w:w="80" w:type="dxa"/>
              <w:right w:w="90" w:type="dxa"/>
            </w:tcMar>
            <w:vAlign w:val="center"/>
          </w:tcPr>
          <w:p w14:paraId="6B599D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Trust boundaries, storage split and threat model.</w:t>
            </w:r>
          </w:p>
        </w:tc>
        <w:tc>
          <w:tcPr>
            <w:tcW w:w="2664" w:type="dxa"/>
            <w:shd w:val="clear" w:color="auto" w:fill="F3F6F9"/>
            <w:tcMar>
              <w:top w:w="80" w:type="dxa"/>
              <w:left w:w="90" w:type="dxa"/>
              <w:bottom w:w="80" w:type="dxa"/>
              <w:right w:w="90" w:type="dxa"/>
            </w:tcMar>
            <w:vAlign w:val="center"/>
          </w:tcPr>
          <w:p w14:paraId="6804F6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Consortium governance and DPIA incomplete.</w:t>
            </w:r>
          </w:p>
        </w:tc>
      </w:tr>
      <w:tr w:rsidR="00FE2287" w:rsidRPr="00E4528F" w14:paraId="0DF87F8B" w14:textId="77777777">
        <w:trPr>
          <w:cantSplit/>
          <w:jc w:val="center"/>
        </w:trPr>
        <w:tc>
          <w:tcPr>
            <w:tcW w:w="1368" w:type="dxa"/>
            <w:tcMar>
              <w:top w:w="80" w:type="dxa"/>
              <w:left w:w="90" w:type="dxa"/>
              <w:bottom w:w="80" w:type="dxa"/>
              <w:right w:w="90" w:type="dxa"/>
            </w:tcMar>
            <w:vAlign w:val="center"/>
          </w:tcPr>
          <w:p w14:paraId="230C5C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lastRenderedPageBreak/>
              <w:t>O3 Implementation</w:t>
            </w:r>
          </w:p>
        </w:tc>
        <w:tc>
          <w:tcPr>
            <w:tcW w:w="1440" w:type="dxa"/>
            <w:tcMar>
              <w:top w:w="80" w:type="dxa"/>
              <w:left w:w="90" w:type="dxa"/>
              <w:bottom w:w="80" w:type="dxa"/>
              <w:right w:w="90" w:type="dxa"/>
            </w:tcMar>
            <w:vAlign w:val="center"/>
          </w:tcPr>
          <w:p w14:paraId="2C472C2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4176482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End-to-end code and versioned artifacts.</w:t>
            </w:r>
          </w:p>
        </w:tc>
        <w:tc>
          <w:tcPr>
            <w:tcW w:w="2664" w:type="dxa"/>
            <w:tcMar>
              <w:top w:w="80" w:type="dxa"/>
              <w:left w:w="90" w:type="dxa"/>
              <w:bottom w:w="80" w:type="dxa"/>
              <w:right w:w="90" w:type="dxa"/>
            </w:tcMar>
            <w:vAlign w:val="center"/>
          </w:tcPr>
          <w:p w14:paraId="71BA2A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independent audit or final live bundle.</w:t>
            </w:r>
          </w:p>
        </w:tc>
      </w:tr>
      <w:tr w:rsidR="00FE2287" w:rsidRPr="00E4528F" w14:paraId="7D3E8864" w14:textId="77777777">
        <w:trPr>
          <w:cantSplit/>
          <w:jc w:val="center"/>
        </w:trPr>
        <w:tc>
          <w:tcPr>
            <w:tcW w:w="1368" w:type="dxa"/>
            <w:shd w:val="clear" w:color="auto" w:fill="F3F6F9"/>
            <w:tcMar>
              <w:top w:w="80" w:type="dxa"/>
              <w:left w:w="90" w:type="dxa"/>
              <w:bottom w:w="80" w:type="dxa"/>
              <w:right w:w="90" w:type="dxa"/>
            </w:tcMar>
            <w:vAlign w:val="center"/>
          </w:tcPr>
          <w:p w14:paraId="1141A2B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O4 Evaluation</w:t>
            </w:r>
          </w:p>
        </w:tc>
        <w:tc>
          <w:tcPr>
            <w:tcW w:w="1440" w:type="dxa"/>
            <w:shd w:val="clear" w:color="auto" w:fill="F3F6F9"/>
            <w:tcMar>
              <w:top w:w="80" w:type="dxa"/>
              <w:left w:w="90" w:type="dxa"/>
              <w:bottom w:w="80" w:type="dxa"/>
              <w:right w:w="90" w:type="dxa"/>
            </w:tcMar>
            <w:vAlign w:val="center"/>
          </w:tcPr>
          <w:p w14:paraId="1E0CB25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Partly achieved</w:t>
            </w:r>
          </w:p>
        </w:tc>
        <w:tc>
          <w:tcPr>
            <w:tcW w:w="3168" w:type="dxa"/>
            <w:shd w:val="clear" w:color="auto" w:fill="F3F6F9"/>
            <w:tcMar>
              <w:top w:w="80" w:type="dxa"/>
              <w:left w:w="90" w:type="dxa"/>
              <w:bottom w:w="80" w:type="dxa"/>
              <w:right w:w="90" w:type="dxa"/>
            </w:tcMar>
            <w:vAlign w:val="center"/>
          </w:tcPr>
          <w:p w14:paraId="68231F6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Hold-out, tuning, bootstrap, signal, fairness, calibration and tests.</w:t>
            </w:r>
          </w:p>
        </w:tc>
        <w:tc>
          <w:tcPr>
            <w:tcW w:w="2664" w:type="dxa"/>
            <w:shd w:val="clear" w:color="auto" w:fill="F3F6F9"/>
            <w:tcMar>
              <w:top w:w="80" w:type="dxa"/>
              <w:left w:w="90" w:type="dxa"/>
              <w:bottom w:w="80" w:type="dxa"/>
              <w:right w:w="90" w:type="dxa"/>
            </w:tcMar>
            <w:vAlign w:val="center"/>
          </w:tcPr>
          <w:p w14:paraId="2678A42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real claims or controlled system benchmark.</w:t>
            </w:r>
          </w:p>
        </w:tc>
      </w:tr>
      <w:tr w:rsidR="00FE2287" w:rsidRPr="00E4528F" w14:paraId="34B3CBF7" w14:textId="77777777">
        <w:trPr>
          <w:cantSplit/>
          <w:jc w:val="center"/>
        </w:trPr>
        <w:tc>
          <w:tcPr>
            <w:tcW w:w="1368" w:type="dxa"/>
            <w:tcMar>
              <w:top w:w="80" w:type="dxa"/>
              <w:left w:w="90" w:type="dxa"/>
              <w:bottom w:w="80" w:type="dxa"/>
              <w:right w:w="90" w:type="dxa"/>
            </w:tcMar>
            <w:vAlign w:val="center"/>
          </w:tcPr>
          <w:p w14:paraId="630359D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O5 Critical assessment</w:t>
            </w:r>
          </w:p>
        </w:tc>
        <w:tc>
          <w:tcPr>
            <w:tcW w:w="1440" w:type="dxa"/>
            <w:tcMar>
              <w:top w:w="80" w:type="dxa"/>
              <w:left w:w="90" w:type="dxa"/>
              <w:bottom w:w="80" w:type="dxa"/>
              <w:right w:w="90" w:type="dxa"/>
            </w:tcMar>
            <w:vAlign w:val="center"/>
          </w:tcPr>
          <w:p w14:paraId="1299799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24D9BD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Negative and unmeasured evidence retained.</w:t>
            </w:r>
          </w:p>
        </w:tc>
        <w:tc>
          <w:tcPr>
            <w:tcW w:w="2664" w:type="dxa"/>
            <w:tcMar>
              <w:top w:w="80" w:type="dxa"/>
              <w:left w:w="90" w:type="dxa"/>
              <w:bottom w:w="80" w:type="dxa"/>
              <w:right w:w="90" w:type="dxa"/>
            </w:tcMar>
            <w:vAlign w:val="center"/>
          </w:tcPr>
          <w:p w14:paraId="503FA54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Independent replication remains necessary.</w:t>
            </w:r>
          </w:p>
        </w:tc>
      </w:tr>
    </w:tbl>
    <w:p w14:paraId="70A4874A" w14:textId="77777777" w:rsidR="00FE2287" w:rsidRPr="00E4528F" w:rsidRDefault="00FE2287">
      <w:pPr>
        <w:spacing w:after="0"/>
        <w:rPr>
          <w:rFonts w:cs="Times New Roman"/>
          <w:color w:val="000000" w:themeColor="text1"/>
        </w:rPr>
      </w:pPr>
    </w:p>
    <w:p w14:paraId="72E70370" w14:textId="77777777" w:rsidR="00FE2287" w:rsidRPr="00E4528F" w:rsidRDefault="00000000">
      <w:pPr>
        <w:rPr>
          <w:rFonts w:cs="Times New Roman"/>
          <w:color w:val="000000" w:themeColor="text1"/>
        </w:rPr>
      </w:pPr>
      <w:r>
        <w:rPr>
          <w:rFonts w:cs="Times New Roman"/>
          <w:color w:val="000000" w:themeColor="text1"/>
        </w:rPr>
        <w:t>The answer to the research question is conditional. A decentralised registry can provide verifiable, AI-ready events when public state is limited to attributable commitments, claim initiation is bound to verified policy eligibility and signed intent, and message delivery is designed for replay. Here, AI-ready means that a confirmed event can be transformed reproducibly into a versioned score, explanation and review record. It does not mean that the public IPFS payload is confidential, that the score is accurate enough for real claims, that subgroup treatment is fair, that compliance is automatic or that the deployment can scale.</w:t>
      </w:r>
    </w:p>
    <w:p w14:paraId="237BCC8F" w14:textId="77777777" w:rsidR="00FE2287" w:rsidRPr="00E4528F" w:rsidRDefault="00000000">
      <w:pPr>
        <w:pStyle w:val="Heading2"/>
        <w:rPr>
          <w:rFonts w:ascii="Times New Roman" w:hAnsi="Times New Roman" w:cs="Times New Roman"/>
          <w:color w:val="000000" w:themeColor="text1"/>
          <w:sz w:val="32"/>
          <w:szCs w:val="32"/>
        </w:rPr>
      </w:pPr>
      <w:bookmarkStart w:id="67" w:name="bm_s6_3"/>
      <w:r w:rsidRPr="00E4528F">
        <w:rPr>
          <w:rFonts w:ascii="Times New Roman" w:hAnsi="Times New Roman" w:cs="Times New Roman"/>
          <w:color w:val="000000" w:themeColor="text1"/>
          <w:sz w:val="32"/>
          <w:szCs w:val="32"/>
        </w:rPr>
        <w:t>6.3 Ethics, fairness and governance</w:t>
      </w:r>
      <w:bookmarkEnd w:id="67"/>
    </w:p>
    <w:p w14:paraId="5F6360F0" w14:textId="77777777" w:rsidR="00FE2287" w:rsidRPr="00E4528F" w:rsidRDefault="00000000">
      <w:pPr>
        <w:rPr>
          <w:rFonts w:cs="Times New Roman"/>
          <w:color w:val="000000" w:themeColor="text1"/>
        </w:rPr>
      </w:pPr>
      <w:r w:rsidRPr="00E4528F">
        <w:rPr>
          <w:rFonts w:cs="Times New Roman"/>
          <w:color w:val="000000" w:themeColor="text1"/>
        </w:rPr>
        <w:t xml:space="preserve">The country audit changes the ethical conclusion. A model that selects almost nine out of ten claims from one synthetic country but fewer than one out of fifteen from another is not ready for deployment. Better overall accuracy would not remove the need to justify this difference. Fairness measures depend on the population, decision and type of harm. The next step is therefore not to optimise one metric alone. It is to decide whether geography should be used at all and to test the effect with governed real data and stakeholder involvement </w:t>
      </w:r>
      <w:sdt>
        <w:sdtPr>
          <w:rPr>
            <w:rFonts w:cs="Times New Roman"/>
            <w:color w:val="000000" w:themeColor="text1"/>
          </w:rPr>
          <w:id w:val="12000007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Mit21 \l 1033  \m Tab23</w:instrText>
          </w:r>
          <w:r w:rsidRPr="00E4528F">
            <w:rPr>
              <w:rFonts w:cs="Times New Roman"/>
              <w:color w:val="000000" w:themeColor="text1"/>
            </w:rPr>
            <w:fldChar w:fldCharType="separate"/>
          </w:r>
          <w:r w:rsidRPr="00E4528F">
            <w:rPr>
              <w:rFonts w:cs="Times New Roman"/>
              <w:noProof/>
              <w:color w:val="000000" w:themeColor="text1"/>
            </w:rPr>
            <w:t>(Mitchell et al., 2021; Tabassi, 2023)</w:t>
          </w:r>
          <w:r w:rsidRPr="00E4528F">
            <w:rPr>
              <w:rFonts w:cs="Times New Roman"/>
              <w:color w:val="000000" w:themeColor="text1"/>
            </w:rPr>
            <w:fldChar w:fldCharType="end"/>
          </w:r>
        </w:sdtContent>
      </w:sdt>
      <w:r w:rsidRPr="00E4528F">
        <w:rPr>
          <w:rFonts w:cs="Times New Roman"/>
          <w:color w:val="000000" w:themeColor="text1"/>
        </w:rPr>
        <w:t>.</w:t>
      </w:r>
    </w:p>
    <w:p w14:paraId="028AD2F9" w14:textId="01223C7F" w:rsidR="00FE2287" w:rsidRPr="00E4528F" w:rsidRDefault="00000000">
      <w:pPr>
        <w:rPr>
          <w:rFonts w:cs="Times New Roman"/>
          <w:color w:val="000000" w:themeColor="text1"/>
        </w:rPr>
      </w:pPr>
      <w:r w:rsidRPr="00E4528F">
        <w:rPr>
          <w:rFonts w:cs="Times New Roman"/>
          <w:color w:val="000000" w:themeColor="text1"/>
        </w:rPr>
        <w:t xml:space="preserve">The model is a review signal, not proof of dishonesty. UK law now places safeguards around significant solely automated decisions, including information, representation, human intervention and contest routes. Those safeguards must be implemented as genuine decision authority rather than a ceremonial click after an algorithmic conclusion </w:t>
      </w:r>
      <w:sdt>
        <w:sdtPr>
          <w:rPr>
            <w:rFonts w:cs="Times New Roman"/>
            <w:color w:val="000000" w:themeColor="text1"/>
          </w:rPr>
          <w:id w:val="12000007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\m ICO25</w:instrText>
          </w:r>
          <w:r w:rsidRPr="00E4528F">
            <w:rPr>
              <w:rFonts w:cs="Times New Roman"/>
              <w:color w:val="000000" w:themeColor="text1"/>
            </w:rPr>
            <w:fldChar w:fldCharType="separate"/>
          </w:r>
          <w:r w:rsidRPr="00E4528F">
            <w:rPr>
              <w:rFonts w:cs="Times New Roman"/>
              <w:noProof/>
              <w:color w:val="000000" w:themeColor="text1"/>
            </w:rPr>
            <w:t>(Data (Use and Access) Act 2025, s.80; Information Commissioner’s Office, 2025)</w:t>
          </w:r>
          <w:r w:rsidRPr="00E4528F">
            <w:rPr>
              <w:rFonts w:cs="Times New Roman"/>
              <w:color w:val="000000" w:themeColor="text1"/>
            </w:rPr>
            <w:fldChar w:fldCharType="end"/>
          </w:r>
        </w:sdtContent>
      </w:sdt>
      <w:r w:rsidRPr="00E4528F">
        <w:rPr>
          <w:rFonts w:cs="Times New Roman"/>
          <w:color w:val="000000" w:themeColor="text1"/>
        </w:rPr>
        <w:t xml:space="preserve">. The EU AI Act does not automatically classify every motor-fraud triage model as high risk classification depends on the system’s intended purpose and Annex III context </w:t>
      </w:r>
      <w:sdt>
        <w:sdtPr>
          <w:rPr>
            <w:rFonts w:cs="Times New Roman"/>
            <w:color w:val="000000" w:themeColor="text1"/>
          </w:rPr>
          <w:id w:val="12000007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EU24 \l 1033 </w:instrText>
          </w:r>
          <w:r w:rsidRPr="00E4528F">
            <w:rPr>
              <w:rFonts w:cs="Times New Roman"/>
              <w:color w:val="000000" w:themeColor="text1"/>
            </w:rPr>
            <w:fldChar w:fldCharType="separate"/>
          </w:r>
          <w:r w:rsidRPr="00E4528F">
            <w:rPr>
              <w:rFonts w:cs="Times New Roman"/>
              <w:noProof/>
              <w:color w:val="000000" w:themeColor="text1"/>
            </w:rPr>
            <w:t>(European Parliament and Council, 2024)</w:t>
          </w:r>
          <w:r w:rsidRPr="00E4528F">
            <w:rPr>
              <w:rFonts w:cs="Times New Roman"/>
              <w:color w:val="000000" w:themeColor="text1"/>
            </w:rPr>
            <w:fldChar w:fldCharType="end"/>
          </w:r>
        </w:sdtContent>
      </w:sdt>
      <w:r w:rsidRPr="00E4528F">
        <w:rPr>
          <w:rFonts w:cs="Times New Roman"/>
          <w:color w:val="000000" w:themeColor="text1"/>
        </w:rPr>
        <w:t>.</w:t>
      </w:r>
    </w:p>
    <w:p w14:paraId="22CC50A2" w14:textId="77777777" w:rsidR="00FE2287" w:rsidRPr="00E4528F" w:rsidRDefault="00000000">
      <w:pPr>
        <w:pStyle w:val="Heading2"/>
        <w:rPr>
          <w:rFonts w:ascii="Times New Roman" w:hAnsi="Times New Roman" w:cs="Times New Roman"/>
          <w:color w:val="000000" w:themeColor="text1"/>
          <w:sz w:val="32"/>
          <w:szCs w:val="32"/>
        </w:rPr>
      </w:pPr>
      <w:bookmarkStart w:id="68" w:name="bm_s6_4"/>
      <w:r w:rsidRPr="00E4528F">
        <w:rPr>
          <w:rFonts w:ascii="Times New Roman" w:hAnsi="Times New Roman" w:cs="Times New Roman"/>
          <w:color w:val="000000" w:themeColor="text1"/>
          <w:sz w:val="32"/>
          <w:szCs w:val="32"/>
        </w:rPr>
        <w:lastRenderedPageBreak/>
        <w:t>6.4 Limitations and threats to validity</w:t>
      </w:r>
      <w:bookmarkEnd w:id="68"/>
    </w:p>
    <w:p w14:paraId="133E16D9" w14:textId="77777777" w:rsidR="00FE2287" w:rsidRPr="00E4528F" w:rsidRDefault="00000000">
      <w:pPr>
        <w:rPr>
          <w:rFonts w:cs="Times New Roman"/>
          <w:color w:val="000000" w:themeColor="text1"/>
        </w:rPr>
      </w:pPr>
      <w:r w:rsidRPr="00E4528F">
        <w:rPr>
          <w:rFonts w:cs="Times New Roman"/>
          <w:color w:val="000000" w:themeColor="text1"/>
        </w:rPr>
        <w:t xml:space="preserve">The primary limitation is the dataset. It is synthetic, and its own structure determines the labels, signal ceiling, country relationships and calibration observed here. Synthetic data can support safe engineering and reproducibility, but hold-out accuracy under a generator does not show field validity or anonymity </w:t>
      </w:r>
      <w:sdt>
        <w:sdtPr>
          <w:rPr>
            <w:rFonts w:cs="Times New Roman"/>
            <w:color w:val="000000" w:themeColor="text1"/>
          </w:rPr>
          <w:id w:val="12000007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Dec24 \l 1033  \m Sta22</w:instrText>
          </w:r>
          <w:r w:rsidRPr="00E4528F">
            <w:rPr>
              <w:rFonts w:cs="Times New Roman"/>
              <w:color w:val="000000" w:themeColor="text1"/>
            </w:rPr>
            <w:fldChar w:fldCharType="separate"/>
          </w:r>
          <w:r w:rsidRPr="00E4528F">
            <w:rPr>
              <w:rFonts w:cs="Times New Roman"/>
              <w:noProof/>
              <w:color w:val="000000" w:themeColor="text1"/>
            </w:rPr>
            <w:t>(Decruyenaere et al., 2024; Stadler, Oprisanu and Troncoso, 2022)</w:t>
          </w:r>
          <w:r w:rsidRPr="00E4528F">
            <w:rPr>
              <w:rFonts w:cs="Times New Roman"/>
              <w:color w:val="000000" w:themeColor="text1"/>
            </w:rPr>
            <w:fldChar w:fldCharType="end"/>
          </w:r>
        </w:sdtContent>
      </w:sdt>
      <w:r w:rsidRPr="00E4528F">
        <w:rPr>
          <w:rFonts w:cs="Times New Roman"/>
          <w:color w:val="000000" w:themeColor="text1"/>
        </w:rPr>
        <w:t>. One dataset, one line of business and one time split cannot show generalisation.</w:t>
      </w:r>
    </w:p>
    <w:p w14:paraId="4FFF2B98" w14:textId="64BCA39F" w:rsidR="00FE2287" w:rsidRPr="00E4528F" w:rsidRDefault="00000000">
      <w:pPr>
        <w:rPr>
          <w:rFonts w:cs="Times New Roman"/>
          <w:color w:val="000000" w:themeColor="text1"/>
        </w:rPr>
      </w:pPr>
      <w:r w:rsidRPr="00E4528F">
        <w:rPr>
          <w:rFonts w:cs="Times New Roman"/>
          <w:color w:val="000000" w:themeColor="text1"/>
        </w:rPr>
        <w:t>The bootstrap quantifies sampling variation conditional on this test set. It does not account for generator misspecification or portfolio shift. The randomised search examines 24 configurations rather than an exhaustive space. One hundred permutations give a minimum attainable empirical p-value of 1/101. Country estimates vary in sample size and are descriptive, while the fairness question cannot be answered from synthetic labels alone. Calibration bins are also sample-dependent. The pinned dataset and base model artifacts are retained, but the advanced-analysis script and JSON must be archived before those extensions can be independently reproduced.</w:t>
      </w:r>
    </w:p>
    <w:p w14:paraId="0B3838DE" w14:textId="5BC1ABCB" w:rsidR="00FE2287" w:rsidRPr="00E4528F" w:rsidRDefault="00000000">
      <w:pPr>
        <w:rPr>
          <w:rFonts w:cs="Times New Roman"/>
          <w:color w:val="000000" w:themeColor="text1"/>
        </w:rPr>
      </w:pPr>
      <w:r w:rsidRPr="00E4528F">
        <w:rPr>
          <w:rFonts w:cs="Times New Roman"/>
          <w:color w:val="000000" w:themeColor="text1"/>
        </w:rPr>
        <w:t>Systems evidence is similarly bounded. Unit, component, contract and two browser scenarios establish selected behaviours. They do not replace infrastructure testing, penetration testing, a smart-contract audit, controlled failure injection or load measurement. Public Sepolia addresses prove deployability, not complete end-to-end use. Several central modules are also 800–1,100 lines long, creating a maintainability risk that needs refactoring before production. The prototype was designed and evaluated by a single researcher, so independent replication remains the strongest control against confirmation bias.</w:t>
      </w:r>
    </w:p>
    <w:p w14:paraId="06EA5D8A" w14:textId="77777777" w:rsidR="00FE2287" w:rsidRPr="00E4528F" w:rsidRDefault="00000000">
      <w:pPr>
        <w:pStyle w:val="Heading1"/>
        <w:pageBreakBefore/>
        <w:rPr>
          <w:rFonts w:ascii="Times New Roman" w:hAnsi="Times New Roman" w:cs="Times New Roman"/>
          <w:color w:val="000000" w:themeColor="text1"/>
          <w:sz w:val="40"/>
          <w:szCs w:val="40"/>
        </w:rPr>
      </w:pPr>
      <w:bookmarkStart w:id="69" w:name="bm_ch7"/>
      <w:r w:rsidRPr="00E4528F">
        <w:rPr>
          <w:rFonts w:ascii="Times New Roman" w:hAnsi="Times New Roman" w:cs="Times New Roman"/>
          <w:color w:val="000000" w:themeColor="text1"/>
          <w:sz w:val="40"/>
          <w:szCs w:val="40"/>
        </w:rPr>
        <w:lastRenderedPageBreak/>
        <w:t>Chapter 7: Conclusion and Future Work</w:t>
      </w:r>
      <w:bookmarkEnd w:id="69"/>
    </w:p>
    <w:p w14:paraId="68133625" w14:textId="77777777" w:rsidR="00FE2287" w:rsidRPr="00E4528F" w:rsidRDefault="00000000">
      <w:pPr>
        <w:rPr>
          <w:rFonts w:cs="Times New Roman"/>
          <w:color w:val="000000" w:themeColor="text1"/>
        </w:rPr>
      </w:pPr>
      <w:r>
        <w:rPr>
          <w:rFonts w:cs="Times New Roman"/>
          <w:color w:val="000000" w:themeColor="text1"/>
        </w:rPr>
        <w:t>This study investigated how a decentralised claims registry could provide verifiable, AI-ready events for fraud screening without placing detailed attributes directly on a public ledger. The prototype combines policy-backed public intake, typed claimant and insurer authorisation, a forward-only smart-contract lifecycle, content-addressed fictional claim data, transactional outbox delivery, replay-aware processing, keyed duplicate screening, versioned XGBoost/SHAP scoring and append-only human outcomes. Its value lies in the connections between these boundaries and in stating plainly what the evaluation cannot support.</w:t>
      </w:r>
    </w:p>
    <w:p w14:paraId="4411206D" w14:textId="77777777" w:rsidR="00FE2287" w:rsidRPr="00E4528F" w:rsidRDefault="00000000">
      <w:pPr>
        <w:pStyle w:val="Heading2"/>
        <w:rPr>
          <w:rFonts w:ascii="Times New Roman" w:hAnsi="Times New Roman" w:cs="Times New Roman"/>
          <w:color w:val="000000" w:themeColor="text1"/>
          <w:sz w:val="32"/>
          <w:szCs w:val="32"/>
        </w:rPr>
      </w:pPr>
      <w:bookmarkStart w:id="70" w:name="bm_s7_1"/>
      <w:r w:rsidRPr="00E4528F">
        <w:rPr>
          <w:rFonts w:ascii="Times New Roman" w:hAnsi="Times New Roman" w:cs="Times New Roman"/>
          <w:color w:val="000000" w:themeColor="text1"/>
          <w:sz w:val="32"/>
          <w:szCs w:val="32"/>
        </w:rPr>
        <w:t>7.1 Conclusion</w:t>
      </w:r>
      <w:bookmarkEnd w:id="70"/>
    </w:p>
    <w:p w14:paraId="6015E085" w14:textId="454B04F8" w:rsidR="00FE2287" w:rsidRPr="00E4528F" w:rsidRDefault="00000000">
      <w:pPr>
        <w:rPr>
          <w:rFonts w:cs="Times New Roman"/>
          <w:color w:val="000000" w:themeColor="text1"/>
        </w:rPr>
      </w:pPr>
      <w:r>
        <w:rPr>
          <w:rFonts w:cs="Times New Roman"/>
          <w:color w:val="000000" w:themeColor="text1"/>
        </w:rPr>
        <w:t>The study shows that a public verification layer can be kept small while still recording who acted. Policy eligibility and an insurer-scoped permit bound the registration context</w:t>
      </w:r>
      <w:r w:rsidR="00E611D0">
        <w:rPr>
          <w:rFonts w:cs="Times New Roman"/>
          <w:color w:val="000000" w:themeColor="text1"/>
        </w:rPr>
        <w:t>.</w:t>
      </w:r>
      <w:r>
        <w:rPr>
          <w:rFonts w:cs="Times New Roman"/>
          <w:color w:val="000000" w:themeColor="text1"/>
        </w:rPr>
        <w:t xml:space="preserve"> </w:t>
      </w:r>
      <w:r w:rsidR="00E611D0">
        <w:rPr>
          <w:rFonts w:cs="Times New Roman"/>
          <w:color w:val="000000" w:themeColor="text1"/>
        </w:rPr>
        <w:t>T</w:t>
      </w:r>
      <w:r>
        <w:rPr>
          <w:rFonts w:cs="Times New Roman"/>
          <w:color w:val="000000" w:themeColor="text1"/>
        </w:rPr>
        <w:t xml:space="preserve">he claimant or </w:t>
      </w:r>
      <w:proofErr w:type="spellStart"/>
      <w:r>
        <w:rPr>
          <w:rFonts w:cs="Times New Roman"/>
          <w:color w:val="000000" w:themeColor="text1"/>
        </w:rPr>
        <w:t>authorised</w:t>
      </w:r>
      <w:proofErr w:type="spellEnd"/>
      <w:r>
        <w:rPr>
          <w:rFonts w:cs="Times New Roman"/>
          <w:color w:val="000000" w:themeColor="text1"/>
        </w:rPr>
        <w:t xml:space="preserve"> representative signed the exact forwarded request. The relayer paid gas without acquiring authority to rewrite the claim. The registry then recorded claimant, submitter and insurer separately and emitted events for private analytical processing. This design reduces on-chain disclosure, but it is not confidential storage. The current claim JSON is public and unencrypted on IPFS, stable commitments remain linkable, and the research instance must therefore use fictional data only.</w:t>
      </w:r>
    </w:p>
    <w:p w14:paraId="42532FE0" w14:textId="77777777" w:rsidR="00FE2287" w:rsidRPr="00E4528F" w:rsidRDefault="00000000">
      <w:pPr>
        <w:rPr>
          <w:rFonts w:cs="Times New Roman"/>
          <w:color w:val="000000" w:themeColor="text1"/>
        </w:rPr>
      </w:pPr>
      <w:r>
        <w:rPr>
          <w:rFonts w:cs="Times New Roman"/>
          <w:color w:val="000000" w:themeColor="text1"/>
        </w:rPr>
        <w:t>The strongest systems result is the explicit treatment of authority and replay. Wallet sessions, policy checks, single-use permits, claimant-signed forwarding, the outbox, durable raw transactions, range checkpoints, acknowledgement order, deterministic event IDs and completed-result reuse make failure behaviour inspectable across PostgreSQL, Ethereum and Kafka. The 310 passing behavioural checks support these rules. The same review also found a quality gap: branch-aware Python coverage was 74.71%, below the configured 75% gate. Eight infrastructure tests were excluded, browser testing covers two paths and no independent security review was completed. This is evidence of an evaluated research implementation, not production assurance.</w:t>
      </w:r>
    </w:p>
    <w:p w14:paraId="0C606AE3" w14:textId="77777777" w:rsidR="00FE2287" w:rsidRPr="00E4528F" w:rsidRDefault="00000000">
      <w:pPr>
        <w:rPr>
          <w:rFonts w:cs="Times New Roman"/>
          <w:color w:val="000000" w:themeColor="text1"/>
        </w:rPr>
      </w:pPr>
      <w:r w:rsidRPr="00E4528F">
        <w:rPr>
          <w:rFonts w:cs="Times New Roman"/>
          <w:color w:val="000000" w:themeColor="text1"/>
        </w:rPr>
        <w:lastRenderedPageBreak/>
        <w:t>The model experiment gives a result that is not especially positive, but it is still useful. On the chronological synthetic test set, logistic regression slightly beats XGBoost on PR-AUC and F1. XGBoost increases recall from 0.4075 to 0.6158, but false positives rise from 3,260 to 5,952. The higher-recall model may be useful when missed fraud is very costly and the review team has enough capacity. Otherwise, logistic regression or a different threshold may be better. This comparison shows why an insurer should consider investigation workload instead of choosing a model because it is more complex.</w:t>
      </w:r>
    </w:p>
    <w:p w14:paraId="69F13704" w14:textId="0AB57052" w:rsidR="00FE2287" w:rsidRPr="00E4528F" w:rsidRDefault="00000000">
      <w:pPr>
        <w:rPr>
          <w:rFonts w:cs="Times New Roman"/>
          <w:color w:val="000000" w:themeColor="text1"/>
        </w:rPr>
      </w:pPr>
      <w:r w:rsidRPr="00E4528F">
        <w:rPr>
          <w:rFonts w:cs="Times New Roman"/>
          <w:color w:val="000000" w:themeColor="text1"/>
        </w:rPr>
        <w:t>The research question is answered in part. The evidence demonstrates a credible method for verifiable event provenance, bounded public disclosure and reproducible explainable scoring under controlled conditions. The evaluation does not establish that the model detects fraud effectively in a real portfolio, that every data-protection obligation has been met, or that the single-VM deployment scales. Those are not footnotes to the result</w:t>
      </w:r>
      <w:r w:rsidR="001765B6" w:rsidRPr="00E4528F">
        <w:rPr>
          <w:rFonts w:cs="Times New Roman"/>
          <w:color w:val="000000" w:themeColor="text1"/>
        </w:rPr>
        <w:t>.</w:t>
      </w:r>
      <w:r w:rsidRPr="00E4528F">
        <w:rPr>
          <w:rFonts w:cs="Times New Roman"/>
          <w:color w:val="000000" w:themeColor="text1"/>
        </w:rPr>
        <w:t xml:space="preserve"> </w:t>
      </w:r>
      <w:r w:rsidR="00B001E4" w:rsidRPr="00E4528F">
        <w:rPr>
          <w:rFonts w:cs="Times New Roman"/>
          <w:color w:val="000000" w:themeColor="text1"/>
        </w:rPr>
        <w:t>T</w:t>
      </w:r>
      <w:r w:rsidRPr="00E4528F">
        <w:rPr>
          <w:rFonts w:cs="Times New Roman"/>
          <w:color w:val="000000" w:themeColor="text1"/>
        </w:rPr>
        <w:t>hey are the line between a dissertation artifact and an operational insurance system.</w:t>
      </w:r>
    </w:p>
    <w:p w14:paraId="65D88944" w14:textId="77777777" w:rsidR="00FE2287" w:rsidRPr="00E4528F" w:rsidRDefault="00000000">
      <w:pPr>
        <w:pStyle w:val="Heading2"/>
        <w:rPr>
          <w:rFonts w:ascii="Times New Roman" w:hAnsi="Times New Roman" w:cs="Times New Roman"/>
          <w:color w:val="000000" w:themeColor="text1"/>
          <w:sz w:val="32"/>
          <w:szCs w:val="32"/>
        </w:rPr>
      </w:pPr>
      <w:bookmarkStart w:id="71" w:name="bm_s7_2"/>
      <w:r w:rsidRPr="00E4528F">
        <w:rPr>
          <w:rFonts w:ascii="Times New Roman" w:hAnsi="Times New Roman" w:cs="Times New Roman"/>
          <w:color w:val="000000" w:themeColor="text1"/>
          <w:sz w:val="32"/>
          <w:szCs w:val="32"/>
        </w:rPr>
        <w:t>7.2 Contributions</w:t>
      </w:r>
      <w:bookmarkEnd w:id="71"/>
    </w:p>
    <w:p w14:paraId="3F16D65C" w14:textId="1FCD3855" w:rsidR="00FE2287" w:rsidRPr="00E4528F" w:rsidRDefault="00000000">
      <w:pPr>
        <w:rPr>
          <w:rFonts w:cs="Times New Roman"/>
          <w:color w:val="000000" w:themeColor="text1"/>
        </w:rPr>
      </w:pPr>
      <w:r>
        <w:rPr>
          <w:rFonts w:cs="Times New Roman"/>
          <w:color w:val="000000" w:themeColor="text1"/>
        </w:rPr>
        <w:t>The principal contribution is an end-to-end reference implementation whose trust decisions can be traced into code and evaluation. Public intake is constrained by wallet identity, policy eligibility, an insurer-scoped permit and exact claimant intent. Party attribution on chain separates claimant, submitter and insurer, while the relayer is limited to fee sponsorship. The storage split gives the ledger a restrained role</w:t>
      </w:r>
      <w:r w:rsidR="00461422">
        <w:rPr>
          <w:rFonts w:cs="Times New Roman"/>
          <w:color w:val="000000" w:themeColor="text1"/>
        </w:rPr>
        <w:t>.</w:t>
      </w:r>
      <w:r>
        <w:rPr>
          <w:rFonts w:cs="Times New Roman"/>
          <w:color w:val="000000" w:themeColor="text1"/>
        </w:rPr>
        <w:t xml:space="preserve"> </w:t>
      </w:r>
      <w:r w:rsidR="00461422">
        <w:rPr>
          <w:rFonts w:cs="Times New Roman"/>
          <w:color w:val="000000" w:themeColor="text1"/>
        </w:rPr>
        <w:t>C</w:t>
      </w:r>
      <w:r>
        <w:rPr>
          <w:rFonts w:cs="Times New Roman"/>
          <w:color w:val="000000" w:themeColor="text1"/>
        </w:rPr>
        <w:t>heckpoints and idempotency rules make restart behaviour testable. The feature layer excludes post-decision leakage, uses keyed duplicate fingerprints and keeps human investigative outcomes append-only and separate from automated scoring.</w:t>
      </w:r>
    </w:p>
    <w:p w14:paraId="6A2A6D66" w14:textId="008991BC" w:rsidR="00FE2287" w:rsidRPr="00E4528F" w:rsidRDefault="00000000">
      <w:pPr>
        <w:rPr>
          <w:rFonts w:cs="Times New Roman"/>
          <w:color w:val="000000" w:themeColor="text1"/>
        </w:rPr>
      </w:pPr>
      <w:r w:rsidRPr="00E4528F">
        <w:rPr>
          <w:rFonts w:cs="Times New Roman"/>
          <w:color w:val="000000" w:themeColor="text1"/>
        </w:rPr>
        <w:t>A second contribution is the separation of claims. Predictive quality, functional correctness, privacy design and scalability require different evidence. Automated tests are not a load benchmark</w:t>
      </w:r>
      <w:r w:rsidR="001765B6" w:rsidRPr="00E4528F">
        <w:rPr>
          <w:rFonts w:cs="Times New Roman"/>
          <w:color w:val="000000" w:themeColor="text1"/>
        </w:rPr>
        <w:t>.</w:t>
      </w:r>
      <w:r w:rsidRPr="00E4528F">
        <w:rPr>
          <w:rFonts w:cs="Times New Roman"/>
          <w:color w:val="000000" w:themeColor="text1"/>
        </w:rPr>
        <w:t xml:space="preserve"> SHAP is not fairness or causality </w:t>
      </w:r>
      <w:r w:rsidR="00B001E4" w:rsidRPr="00E4528F">
        <w:rPr>
          <w:rFonts w:cs="Times New Roman"/>
          <w:color w:val="000000" w:themeColor="text1"/>
        </w:rPr>
        <w:t>evidence,</w:t>
      </w:r>
      <w:r w:rsidRPr="00E4528F">
        <w:rPr>
          <w:rFonts w:cs="Times New Roman"/>
          <w:color w:val="000000" w:themeColor="text1"/>
        </w:rPr>
        <w:t xml:space="preserve"> and a </w:t>
      </w:r>
      <w:proofErr w:type="spellStart"/>
      <w:r w:rsidR="00461422" w:rsidRPr="00E4528F">
        <w:rPr>
          <w:rFonts w:cs="Times New Roman"/>
          <w:color w:val="000000" w:themeColor="text1"/>
        </w:rPr>
        <w:t>testnet</w:t>
      </w:r>
      <w:proofErr w:type="spellEnd"/>
      <w:r w:rsidRPr="00E4528F">
        <w:rPr>
          <w:rFonts w:cs="Times New Roman"/>
          <w:color w:val="000000" w:themeColor="text1"/>
        </w:rPr>
        <w:t xml:space="preserve"> address is not an end-to-end transaction record. Keeping those distinctions makes the conclusions narrower, but easier to defend.</w:t>
      </w:r>
    </w:p>
    <w:p w14:paraId="78B3C40F" w14:textId="77777777" w:rsidR="00FE2287" w:rsidRPr="00E4528F" w:rsidRDefault="00000000">
      <w:pPr>
        <w:pStyle w:val="Heading2"/>
        <w:rPr>
          <w:rFonts w:ascii="Times New Roman" w:hAnsi="Times New Roman" w:cs="Times New Roman"/>
          <w:color w:val="000000" w:themeColor="text1"/>
          <w:sz w:val="32"/>
          <w:szCs w:val="32"/>
        </w:rPr>
      </w:pPr>
      <w:bookmarkStart w:id="72" w:name="bm_s7_3"/>
      <w:r w:rsidRPr="00E4528F">
        <w:rPr>
          <w:rFonts w:ascii="Times New Roman" w:hAnsi="Times New Roman" w:cs="Times New Roman"/>
          <w:color w:val="000000" w:themeColor="text1"/>
          <w:sz w:val="32"/>
          <w:szCs w:val="32"/>
        </w:rPr>
        <w:lastRenderedPageBreak/>
        <w:t>7.3 Future work</w:t>
      </w:r>
      <w:bookmarkEnd w:id="72"/>
    </w:p>
    <w:p w14:paraId="237563C5" w14:textId="0C0A0ACF" w:rsidR="00FE2287" w:rsidRPr="00E4528F" w:rsidRDefault="00000000">
      <w:pPr>
        <w:rPr>
          <w:rFonts w:cs="Times New Roman"/>
          <w:color w:val="000000" w:themeColor="text1"/>
        </w:rPr>
      </w:pPr>
      <w:r w:rsidRPr="00E4528F">
        <w:rPr>
          <w:rFonts w:cs="Times New Roman"/>
          <w:color w:val="000000" w:themeColor="text1"/>
        </w:rPr>
        <w:t>The first priority for future work is the missing empirical system evaluation.</w:t>
      </w:r>
      <w:r w:rsidR="001A26AA" w:rsidRPr="00E4528F">
        <w:rPr>
          <w:rFonts w:cs="Times New Roman"/>
          <w:color w:val="000000" w:themeColor="text1"/>
        </w:rPr>
        <w:t/>
      </w:r>
      <w:r w:rsidRPr="00E4528F">
        <w:rPr>
          <w:rFonts w:cs="Times New Roman"/>
          <w:color w:val="000000" w:themeColor="text1"/>
        </w:rPr>
        <w:t xml:space="preserve"> A reproducible benchmark should record API acceptance, block inclusion, listener lag, queue delay, inference time, assessment completion and gas under controlled workloads. It should report tail latency and confidence intervals, repeat runs on declared hardware and inject failures at each commit boundary. That experiment would show whether replay safety survives stress and which component</w:t>
      </w:r>
      <w:r w:rsidR="00461422">
        <w:rPr>
          <w:rFonts w:cs="Times New Roman"/>
          <w:color w:val="000000" w:themeColor="text1"/>
        </w:rPr>
        <w:t xml:space="preserve">: </w:t>
      </w:r>
      <w:r w:rsidRPr="00E4528F">
        <w:rPr>
          <w:rFonts w:cs="Times New Roman"/>
          <w:color w:val="000000" w:themeColor="text1"/>
        </w:rPr>
        <w:t xml:space="preserve">the database, RPC provider, broker, model or </w:t>
      </w:r>
      <w:proofErr w:type="spellStart"/>
      <w:r w:rsidRPr="00E4528F">
        <w:rPr>
          <w:rFonts w:cs="Times New Roman"/>
          <w:color w:val="000000" w:themeColor="text1"/>
        </w:rPr>
        <w:t>relayer</w:t>
      </w:r>
      <w:proofErr w:type="spellEnd"/>
      <w:r w:rsidR="00461422">
        <w:rPr>
          <w:rFonts w:cs="Times New Roman"/>
          <w:color w:val="000000" w:themeColor="text1"/>
        </w:rPr>
        <w:t xml:space="preserve"> </w:t>
      </w:r>
      <w:r w:rsidRPr="00E4528F">
        <w:rPr>
          <w:rFonts w:cs="Times New Roman"/>
          <w:color w:val="000000" w:themeColor="text1"/>
        </w:rPr>
        <w:t>becomes the practical bottleneck.</w:t>
      </w:r>
    </w:p>
    <w:p w14:paraId="69813AD4" w14:textId="3A801584" w:rsidR="00FE2287" w:rsidRPr="00E4528F" w:rsidRDefault="00000000">
      <w:pPr>
        <w:rPr>
          <w:rFonts w:cs="Times New Roman"/>
          <w:color w:val="000000" w:themeColor="text1"/>
        </w:rPr>
      </w:pPr>
      <w:r w:rsidRPr="00E4528F">
        <w:rPr>
          <w:rFonts w:cs="Times New Roman"/>
          <w:color w:val="000000" w:themeColor="text1"/>
        </w:rPr>
        <w:t xml:space="preserve">The second priority is external predictive validation. An insurer or suitably governed research consortium should evaluate de-identified real claims from a later time period, with investigator-confirmed labels where possible. Thresholds should be chosen from review capacity and expected cost, and probability calibration should be measured. Subgroup error, drift and feature stability should be audited before and after deployment </w:t>
      </w:r>
      <w:sdt>
        <w:sdtPr>
          <w:rPr>
            <w:rFonts w:cs="Times New Roman"/>
            <w:color w:val="000000" w:themeColor="text1"/>
          </w:rPr>
          <w:id w:val="12000007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\m Tab23</w:instrText>
          </w:r>
          <w:r w:rsidRPr="00E4528F">
            <w:rPr>
              <w:rFonts w:cs="Times New Roman"/>
              <w:color w:val="000000" w:themeColor="text1"/>
            </w:rPr>
            <w:fldChar w:fldCharType="separate"/>
          </w:r>
          <w:r w:rsidRPr="00E4528F">
            <w:rPr>
              <w:rFonts w:cs="Times New Roman"/>
              <w:noProof/>
              <w:color w:val="000000" w:themeColor="text1"/>
            </w:rPr>
            <w:t>(Dimitriadis et al., 2024; Tabassi, 2023)</w:t>
          </w:r>
          <w:r w:rsidRPr="00E4528F">
            <w:rPr>
              <w:rFonts w:cs="Times New Roman"/>
              <w:color w:val="000000" w:themeColor="text1"/>
            </w:rPr>
            <w:fldChar w:fldCharType="end"/>
          </w:r>
        </w:sdtContent>
      </w:sdt>
      <w:r w:rsidRPr="00E4528F">
        <w:rPr>
          <w:rFonts w:cs="Times New Roman"/>
          <w:color w:val="000000" w:themeColor="text1"/>
        </w:rPr>
        <w:t xml:space="preserve">. Alternative models—including calibrated boosting, graph features for related parties and anomaly detection—should be compared against the same simple baseline and split. Dataset documentation and risk records should state intended use, composition, evaluation conditions and excluded uses </w:t>
      </w:r>
      <w:sdt>
        <w:sdtPr>
          <w:rPr>
            <w:rFonts w:cs="Times New Roman"/>
            <w:color w:val="000000" w:themeColor="text1"/>
          </w:rPr>
          <w:id w:val="12000007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Geb21 \l 1033  \m Tab23</w:instrText>
          </w:r>
          <w:r w:rsidRPr="00E4528F">
            <w:rPr>
              <w:rFonts w:cs="Times New Roman"/>
              <w:color w:val="000000" w:themeColor="text1"/>
            </w:rPr>
            <w:fldChar w:fldCharType="separate"/>
          </w:r>
          <w:r w:rsidRPr="00E4528F">
            <w:rPr>
              <w:rFonts w:cs="Times New Roman"/>
              <w:noProof/>
              <w:color w:val="000000" w:themeColor="text1"/>
            </w:rPr>
            <w:t>(Gebru et al., 2021; Tabassi, 2023)</w:t>
          </w:r>
          <w:r w:rsidRPr="00E4528F">
            <w:rPr>
              <w:rFonts w:cs="Times New Roman"/>
              <w:color w:val="000000" w:themeColor="text1"/>
            </w:rPr>
            <w:fldChar w:fldCharType="end"/>
          </w:r>
        </w:sdtContent>
      </w:sdt>
      <w:r w:rsidRPr="00E4528F">
        <w:rPr>
          <w:rFonts w:cs="Times New Roman"/>
          <w:color w:val="000000" w:themeColor="text1"/>
        </w:rPr>
        <w:t>.</w:t>
      </w:r>
    </w:p>
    <w:p w14:paraId="1DBAD50C" w14:textId="77777777" w:rsidR="00FE2287" w:rsidRPr="00E4528F" w:rsidRDefault="00000000">
      <w:pPr>
        <w:rPr>
          <w:rFonts w:cs="Times New Roman"/>
          <w:color w:val="000000" w:themeColor="text1"/>
        </w:rPr>
      </w:pPr>
      <w:r w:rsidRPr="00E4528F">
        <w:rPr>
          <w:rFonts w:cs="Times New Roman"/>
          <w:color w:val="000000" w:themeColor="text1"/>
        </w:rPr>
        <w:t xml:space="preserve">The third priority is privacy and governance hardening. Real evidence should move to encrypted, access-controlled and preferably private content storage rather than public IPFS. The project needs a data-protection impact assessment, retention and erasure process, formal role allocation, key-rotation policy, membership-inference controls for duplicate screening and a customer contest route </w:t>
      </w:r>
      <w:sdt>
        <w:sdtPr>
          <w:rPr>
            <w:rFonts w:cs="Times New Roman"/>
            <w:color w:val="000000" w:themeColor="text1"/>
          </w:rPr>
          <w:id w:val="12000007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ICO23 \l 1033  \m EDP26</w:instrText>
          </w:r>
          <w:r w:rsidRPr="00E4528F">
            <w:rPr>
              <w:rFonts w:cs="Times New Roman"/>
              <w:color w:val="000000" w:themeColor="text1"/>
            </w:rPr>
            <w:fldChar w:fldCharType="separate"/>
          </w:r>
          <w:r w:rsidRPr="00E4528F">
            <w:rPr>
              <w:rFonts w:cs="Times New Roman"/>
              <w:noProof/>
              <w:color w:val="000000" w:themeColor="text1"/>
            </w:rPr>
            <w:t>(Information Commissioner’s Office, 2023; European Data Protection Board, 2026)</w:t>
          </w:r>
          <w:r w:rsidRPr="00E4528F">
            <w:rPr>
              <w:rFonts w:cs="Times New Roman"/>
              <w:color w:val="000000" w:themeColor="text1"/>
            </w:rPr>
            <w:fldChar w:fldCharType="end"/>
          </w:r>
        </w:sdtContent>
      </w:sdt>
      <w:r w:rsidRPr="00E4528F">
        <w:rPr>
          <w:rFonts w:cs="Times New Roman"/>
          <w:color w:val="000000" w:themeColor="text1"/>
        </w:rPr>
        <w:t>. A consortium deployment should compare a permissioned ledger with a public anchoring scheme and select the least revealing architecture that meets the trust requirement.</w:t>
      </w:r>
    </w:p>
    <w:p w14:paraId="238BF4C5" w14:textId="6BDC13CA" w:rsidR="00FE2287" w:rsidRPr="00E4528F" w:rsidRDefault="00000000">
      <w:pPr>
        <w:rPr>
          <w:rFonts w:cs="Times New Roman"/>
          <w:color w:val="000000" w:themeColor="text1"/>
        </w:rPr>
      </w:pPr>
      <w:r w:rsidRPr="00E4528F">
        <w:rPr>
          <w:rFonts w:cs="Times New Roman"/>
          <w:color w:val="000000" w:themeColor="text1"/>
        </w:rPr>
        <w:t>The fourth priority is production security. Contracts and relayer changes require an independent audit</w:t>
      </w:r>
      <w:r w:rsidR="004C2716" w:rsidRPr="00E4528F">
        <w:rPr>
          <w:rFonts w:cs="Times New Roman"/>
          <w:color w:val="000000" w:themeColor="text1"/>
        </w:rPr>
        <w:t>.</w:t>
      </w:r>
      <w:r w:rsidRPr="00E4528F">
        <w:rPr>
          <w:rFonts w:cs="Times New Roman"/>
          <w:color w:val="000000" w:themeColor="text1"/>
        </w:rPr>
        <w:t xml:space="preserve"> </w:t>
      </w:r>
      <w:r w:rsidR="004C2716" w:rsidRPr="00E4528F">
        <w:rPr>
          <w:rFonts w:cs="Times New Roman"/>
          <w:color w:val="000000" w:themeColor="text1"/>
        </w:rPr>
        <w:t>A</w:t>
      </w:r>
      <w:r w:rsidRPr="00E4528F">
        <w:rPr>
          <w:rFonts w:cs="Times New Roman"/>
          <w:color w:val="000000" w:themeColor="text1"/>
        </w:rPr>
        <w:t>dministration should use managed keys and multi-signature approval</w:t>
      </w:r>
      <w:r w:rsidR="00B001E4" w:rsidRPr="00E4528F">
        <w:rPr>
          <w:rFonts w:cs="Times New Roman"/>
          <w:color w:val="000000" w:themeColor="text1"/>
        </w:rPr>
        <w:t>.</w:t>
      </w:r>
      <w:r w:rsidRPr="00E4528F">
        <w:rPr>
          <w:rFonts w:cs="Times New Roman"/>
          <w:color w:val="000000" w:themeColor="text1"/>
        </w:rPr>
        <w:t xml:space="preserve"> </w:t>
      </w:r>
      <w:r w:rsidR="00B001E4" w:rsidRPr="00E4528F">
        <w:rPr>
          <w:rFonts w:cs="Times New Roman"/>
          <w:color w:val="000000" w:themeColor="text1"/>
        </w:rPr>
        <w:t>S</w:t>
      </w:r>
      <w:r w:rsidRPr="00E4528F">
        <w:rPr>
          <w:rFonts w:cs="Times New Roman"/>
          <w:color w:val="000000" w:themeColor="text1"/>
        </w:rPr>
        <w:t>ervices need secret management, rate limits, observability and incident response</w:t>
      </w:r>
      <w:r w:rsidR="00B001E4" w:rsidRPr="00E4528F">
        <w:rPr>
          <w:rFonts w:cs="Times New Roman"/>
          <w:color w:val="000000" w:themeColor="text1"/>
        </w:rPr>
        <w:t>,</w:t>
      </w:r>
      <w:r w:rsidRPr="00E4528F">
        <w:rPr>
          <w:rFonts w:cs="Times New Roman"/>
          <w:color w:val="000000" w:themeColor="text1"/>
        </w:rPr>
        <w:t xml:space="preserve"> and deployment should replace the single host with redundant databases, broker </w:t>
      </w:r>
      <w:r w:rsidRPr="00E4528F">
        <w:rPr>
          <w:rFonts w:cs="Times New Roman"/>
          <w:color w:val="000000" w:themeColor="text1"/>
        </w:rPr>
        <w:lastRenderedPageBreak/>
        <w:t xml:space="preserve">partitions and separately scaled workers. Confirmation-depth and chain-reorganisation policies must be explicit and tested. These activities should be organised as lifecycle controls rather than a one-off release gate </w:t>
      </w:r>
      <w:sdt>
        <w:sdtPr>
          <w:rPr>
            <w:rFonts w:cs="Times New Roman"/>
            <w:color w:val="000000" w:themeColor="text1"/>
          </w:rPr>
          <w:id w:val="12000007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Sou22 \l 1033  \m EEA25</w:instrText>
          </w:r>
          <w:r w:rsidRPr="00E4528F">
            <w:rPr>
              <w:rFonts w:cs="Times New Roman"/>
              <w:color w:val="000000" w:themeColor="text1"/>
            </w:rPr>
            <w:fldChar w:fldCharType="separate"/>
          </w:r>
          <w:r w:rsidRPr="00E4528F">
            <w:rPr>
              <w:rFonts w:cs="Times New Roman"/>
              <w:noProof/>
              <w:color w:val="000000" w:themeColor="text1"/>
            </w:rPr>
            <w:t>(Souppaya, Scarfone and Dodson, 2022; Enterprise Ethereum Alliance, 2025)</w:t>
          </w:r>
          <w:r w:rsidRPr="00E4528F">
            <w:rPr>
              <w:rFonts w:cs="Times New Roman"/>
              <w:color w:val="000000" w:themeColor="text1"/>
            </w:rPr>
            <w:fldChar w:fldCharType="end"/>
          </w:r>
        </w:sdtContent>
      </w:sdt>
      <w:r w:rsidRPr="00E4528F">
        <w:rPr>
          <w:rFonts w:cs="Times New Roman"/>
          <w:color w:val="000000" w:themeColor="text1"/>
        </w:rPr>
        <w:t>.</w:t>
      </w:r>
    </w:p>
    <w:p w14:paraId="4B39E103" w14:textId="2BDD8DAC" w:rsidR="00FE2287" w:rsidRPr="00E4528F" w:rsidRDefault="00000000">
      <w:pPr>
        <w:rPr>
          <w:rFonts w:cs="Times New Roman"/>
          <w:color w:val="000000" w:themeColor="text1"/>
        </w:rPr>
      </w:pPr>
      <w:r>
        <w:rPr>
          <w:rFonts w:cs="Times New Roman"/>
          <w:color w:val="000000" w:themeColor="text1"/>
        </w:rPr>
        <w:t>Finally, future work should deepen the implemented human-review boundary rather than merely add model complexity. The current assessor console already records append-only investigative outcomes and corrections without changing chain status or retraining the model. A production workflow would still need enterprise identity, least-privilege evidence access, allocation and escalation rules, independent supervision, reasoned decision records and a claimant contest route. Where a significant decision becomes solely automated, current UK law requires information, representation, human-intervention and contest safeguards</w:t>
      </w:r>
      <w:r w:rsidR="00E611D0">
        <w:rPr>
          <w:rFonts w:cs="Times New Roman"/>
          <w:color w:val="000000" w:themeColor="text1"/>
        </w:rPr>
        <w:t>,</w:t>
      </w:r>
      <w:r>
        <w:rPr>
          <w:rFonts w:cs="Times New Roman"/>
          <w:color w:val="000000" w:themeColor="text1"/>
        </w:rPr>
        <w:t xml:space="preserve"> meaningful authority must be visible in the workflow, not asserted only in policy text. Outcomes should support monitoring without turning an initial suspicion into a permanent, self-reinforcing label. This preserves the central principle of the study: technology should improve investigative quality and auditability, not automate an allegation. </w:t>
      </w:r>
      <w:sdt>
        <w:sdtPr>
          <w:rPr>
            <w:rFonts w:cs="Times New Roman"/>
            <w:color w:val="000000" w:themeColor="text1"/>
          </w:rPr>
          <w:id w:val="12000007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\m ICO25</w:instrText>
          </w:r>
          <w:r w:rsidRPr="00E4528F">
            <w:rPr>
              <w:rFonts w:cs="Times New Roman"/>
              <w:color w:val="000000" w:themeColor="text1"/>
            </w:rPr>
            <w:fldChar w:fldCharType="separate"/>
          </w:r>
          <w:r w:rsidRPr="00E4528F">
            <w:rPr>
              <w:rFonts w:cs="Times New Roman"/>
              <w:noProof/>
              <w:color w:val="000000" w:themeColor="text1"/>
            </w:rPr>
            <w:t>(Data (Use and Access) Act 2025, s.80; Information Commissioner’s Office, 2025)</w:t>
          </w:r>
          <w:r w:rsidRPr="00E4528F">
            <w:rPr>
              <w:rFonts w:cs="Times New Roman"/>
              <w:color w:val="000000" w:themeColor="text1"/>
            </w:rPr>
            <w:fldChar w:fldCharType="end"/>
          </w:r>
        </w:sdtContent>
      </w:sdt>
    </w:p>
    <w:p w14:paraId="067A19D1" w14:textId="77777777" w:rsidR="00FE2287" w:rsidRPr="00E4528F" w:rsidRDefault="00000000">
      <w:pPr>
        <w:pStyle w:val="Heading1"/>
        <w:pageBreakBefore/>
        <w:rPr>
          <w:rFonts w:ascii="Times New Roman" w:hAnsi="Times New Roman" w:cs="Times New Roman"/>
          <w:color w:val="000000" w:themeColor="text1"/>
        </w:rPr>
      </w:pPr>
      <w:bookmarkStart w:id="73" w:name="bm_references"/>
      <w:r w:rsidRPr="00E4528F">
        <w:rPr>
          <w:rFonts w:ascii="Times New Roman" w:hAnsi="Times New Roman" w:cs="Times New Roman"/>
          <w:color w:val="000000" w:themeColor="text1"/>
        </w:rPr>
        <w:lastRenderedPageBreak/>
        <w:t>References</w:t>
      </w:r>
      <w:bookmarkEnd w:id="73"/>
    </w:p>
    <w:p w14:paraId="153D25B8"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Broniatowski, D.A. (2021) Psychological Foundations of Explainability and Interpretability in Artificial Intelligence. NISTIR 8367. https://doi.org/10.6028/NIST.IR.8367</w:t>
      </w:r>
    </w:p>
    <w:p w14:paraId="65DCBF8F"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Carracedo, P., Hervás, D. and Soriano-Gonzalez, R. (2026) ‘Class imbalance in insurance fraud detection models’, European Actuarial Journal. https://doi.org/10.1007/s13385-026-00456-9</w:t>
      </w:r>
    </w:p>
    <w:p w14:paraId="60ADC8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Chen, C.-L., Deng, Y.-Y., Tsaur, W.-J., Li, C.-T., Lee, C.-C. and Wu, C.-M. (2021) ‘A traceable online insurance claims system based on blockchain and smart contract technology’, Sustainability, 13(16), 9386. https://doi.org/10.3390/su13169386</w:t>
      </w:r>
    </w:p>
    <w:p w14:paraId="05E786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Data (Use and Access) Act 2025, c.18, s.80. Available at: https://www.legislation.gov.uk/ukpga/2025/18/section/80 (Accessed: 11 August 2026).</w:t>
      </w:r>
    </w:p>
    <w:p w14:paraId="1E15568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Debener, J., Heinke, V. and Kriebel, J. (2023) ‘Detecting insurance fraud using supervised and unsupervised machine learning’, Journal of Risk and Insurance, 90(3), pp. 743–768. https://doi.org/10.1111/jori.12427</w:t>
      </w:r>
    </w:p>
    <w:p w14:paraId="33A481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Decruyenaere, A. et al. (2024) ‘The real deal behind the artificial appeal: inferential utility of tabular synthetic data’, Proceedings of the Fortieth Conference on Uncertainty in Artificial Intelligence, PMLR 244, pp. 966–996. Available at: https://proceedings.mlr.press/v244/decruyenaere24a.html (Accessed: 11 August 2026).</w:t>
      </w:r>
    </w:p>
    <w:p w14:paraId="48FEA3A1"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Dimitriadis, T., Gneiting, T., Jordan, A.I. and Vogel, P. (2024) ‘Evaluating probabilistic classifiers: the triptych’, International Journal of Forecasting, 40(3), pp. 1101–1122. https://doi.org/10.1016/j.ijforecast.2023.09.007</w:t>
      </w:r>
    </w:p>
    <w:p w14:paraId="6BD8203E"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Electric Sheep Africa (2026) African Motor Insurance Claims Dataset. Hugging Face Datasets, pinned revision 7b8b6e8526c28ea54ae8e6414666d48d108221a1. Available at: https://huggingface.co/datasets/electricsheepafrica/africa-synth-motor-insurance-claims-all/tree/7b8b6e8526c28ea54ae8e6414666d48d108221a1 (Accessed: 21 August 2026).</w:t>
      </w:r>
    </w:p>
    <w:p w14:paraId="5D59D2A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Enterprise Ethereum Alliance (2025) EthTrust Security Levels Specification, version 3. Available at: https://entethalliance.org/specs/ethtrust-sl/v3/ (Accessed: 11 August 2026).</w:t>
      </w:r>
    </w:p>
    <w:p w14:paraId="59F3FCC1"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Data Protection Board (2026) Guidelines 02/2025 on Processing of Personal Data through Blockchain Technologies, version 2.0, adopted 7 July. Available at: https://www.edpb.europa.eu/documents/guideline/guidelines-on-processing-of-personal-data-through-blockchain-technologies_en (Accessed: 11 August 2026).</w:t>
      </w:r>
    </w:p>
    <w:p w14:paraId="0034640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Insurance and Occupational Pensions Authority (2022) Feedback Statement: Discussion Paper on Blockchain and Smart Contracts in Insurance. EIOPA-BoS-22-178. Available at: https://www.eiopa.europa.eu/system/files/2022-05/feedback_statement_-_discussion_paper_on_blockchain_and_smart_contracts_in_insurance.pdf (Accessed: 11 August 2026).</w:t>
      </w:r>
    </w:p>
    <w:p w14:paraId="74ED902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Parliament and Council (2024) Regulation (EU) 2024/1689 laying down harmonised rules on artificial intelligence, Official Journal of the European Union, L 2024/1689. Available at: https://eur-lex.europa.eu/legal-content/EN/TXT/?uri=CELEX:32024R1689 (Accessed: 11 August 2026).</w:t>
      </w:r>
    </w:p>
    <w:p w14:paraId="58BFB91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Gebru, T., Morgenstern, J., Vecchione, B., Vaughan, J.W., Wallach, H., Daumé III, H. and Crawford, K. (2021) ‘Datasheets for datasets’, Communications of the ACM, 64(12), pp. 86–92. https://doi.org/10.1145/3458723</w:t>
      </w:r>
    </w:p>
    <w:p w14:paraId="4E2D049E"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Herm, L.-V., Steinbach, T., Wanner, J. and Janiesch, C. (2022) ‘A nascent design theory for explainable intelligent systems’, Electronic Markets, 32, pp. 2185–2205. https://doi.org/10.1007/s12525-022-00606-3</w:t>
      </w:r>
    </w:p>
    <w:p w14:paraId="30170A00"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lastRenderedPageBreak/>
        <w:t>Hughes, W., Magnusson, T., Russo, A. and Schneider, G. (2023) ‘Cheap and secure metatransactions on the blockchain using hash-based authorisation and preferred batchers’, Blockchain: Research and Applications, 4(2), 100125. https://doi.org/10.1016/j.bcra.2022.100125</w:t>
      </w:r>
    </w:p>
    <w:p w14:paraId="7EE76B5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Information Commissioner’s Office (2023) Guidance on AI and Data Protection, updated 15 March. Available at: https://ico.org.uk/for-organisations/uk-gdpr-guidance-and-resources/artificial-intelligence/guidance-on-ai-and-data-protection/ (Accessed: 11 August 2026).</w:t>
      </w:r>
    </w:p>
    <w:p w14:paraId="0F0E553B"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Information Commissioner’s Office (2025) ‘Data protection: Data (Use and Access) Act 2025—summary of changes’, published 19 June 2025, updated 20 August 2025. Available at: https://ico.org.uk/about-the-ico/what-we-do/legislation-we-cover/data-use-and-access-act-2025/the-data-use-and-access-act-2025-duaa-summary-of-the-changes/data-protection/ (Accessed: 21 August 2026).</w:t>
      </w:r>
    </w:p>
    <w:p w14:paraId="33E883B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Jena, S.K., Kumar, B., Mohanty, B., Singhal, A. and Barik, R.C. (2024) ‘An advanced blockchain-based hyperledger fabric solution for tracing fraudulent claims in the healthcare industry’, Data and Information Management, 8(2), 100411. https://doi.org/10.1016/j.dajour.2024.100411</w:t>
      </w:r>
    </w:p>
    <w:p w14:paraId="7A12B230"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Kapoor, S. and Narayanan, A. (2023) ‘Leakage and the reproducibility crisis in machine-learning-based science’, Patterns, 4(9), 100804. https://doi.org/10.1016/j.patter.2023.100804</w:t>
      </w:r>
    </w:p>
    <w:p w14:paraId="3A4AD50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Landwehr, J.P., Kühl, N., Walk, J. and Gnädig, M. (2022) ‘Design knowledge for deep-learning-enabled image-based decision support systems: evidence from power line maintenance decision-making’, Business &amp; Information Systems Engineering, 64, pp. 707–728. https://doi.org/10.1007/s12599-022-00745-z</w:t>
      </w:r>
    </w:p>
    <w:p w14:paraId="63DBFFB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Mitchell, S., Potash, E., Barocas, S., D’Amour, A. and Lum, K. (2021) ‘Algorithmic fairness: choices, assumptions, and definitions’, Annual Review of Statistics and Its Application, 8, pp. 141–163. https://doi.org/10.1146/annurev-statistics-042720-125902</w:t>
      </w:r>
    </w:p>
    <w:p w14:paraId="79727DD9" w14:textId="77777777" w:rsidR="00FE2287" w:rsidRPr="00E4528F" w:rsidRDefault="00000000" w:rsidP="007629D5">
      <w:pPr>
        <w:pStyle w:val="Reference"/>
        <w:jc w:val="both"/>
        <w:rPr>
          <w:rFonts w:cs="Times New Roman"/>
          <w:color w:val="000000" w:themeColor="text1"/>
        </w:rPr>
      </w:pPr>
      <w:proofErr w:type="spellStart"/>
      <w:r w:rsidRPr="00E4528F">
        <w:rPr>
          <w:rFonts w:cs="Times New Roman"/>
          <w:color w:val="000000" w:themeColor="text1"/>
        </w:rPr>
        <w:t>Pfob</w:t>
      </w:r>
      <w:proofErr w:type="spellEnd"/>
      <w:r w:rsidRPr="00E4528F">
        <w:rPr>
          <w:rFonts w:cs="Times New Roman"/>
          <w:color w:val="000000" w:themeColor="text1"/>
        </w:rPr>
        <w:t>, A., Lu, S.-C. and Sidey-Gibbons, C. (2022) ‘Machine learning in medicine: a practical introduction to techniques for data pre-processing, hyperparameter tuning, and model comparison’, BMC Medical Research Methodology, 22, 282. https://doi.org/10.1186/s12874-022-01758-8</w:t>
      </w:r>
    </w:p>
    <w:p w14:paraId="3852E35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Phillips, P.J., Hahn, C.A., Fontana, P.C., Yates, A.N., Greene, K., Broniatowski, D.A. and Przybocki, M.A. (2021) Four Principles of Explainable Artificial Intelligence. NISTIR 8312. https://doi.org/10.6028/NIST.IR.8312</w:t>
      </w:r>
    </w:p>
    <w:p w14:paraId="5EE7936F"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Pineau, J. et al. (2021) ‘Improving reproducibility in machine learning research: a report from the NeurIPS 2019 reproducibility program’, Journal of Machine Learning Research, 22(164), pp. 1–20. Available at: https://www.jmlr.org/papers/v22/20-303.html (Accessed: 11 August 2026).</w:t>
      </w:r>
    </w:p>
    <w:p w14:paraId="750FF093"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Schrijver, G., Sarmah, D.K. and El-Hajj, M. (2024) ‘Automobile insurance fraud detection using data mining: a systematic literature review’, Intelligent Systems with Applications, 21, 200340. https://doi.org/10.1016/j.iswa.2024.200340</w:t>
      </w:r>
    </w:p>
    <w:p w14:paraId="7F8D1CC7"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Shibano, K., Ito, K., Han, C., Chu, T.T., Ozaki, W. and Mogi, G. (2024) ‘Secure processing and distribution of data managed on private InterPlanetary File System using zero-knowledge proofs’, Electronics, 13(15), 3025. https://doi.org/10.3390/electronics13153025</w:t>
      </w:r>
    </w:p>
    <w:p w14:paraId="6395F55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Souppaya, M., Scarfone, K. and Dodson, D. (2022) Secure Software Development Framework (SSDF) Version 1.1. NIST SP 800-218. https://doi.org/10.6028/NIST.SP.800-218</w:t>
      </w:r>
    </w:p>
    <w:p w14:paraId="0AF26FA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Stadler, T., Oprisanu, B. and Troncoso, C. (2022) ‘Synthetic data—anonymisation groundhog day’, 31st USENIX Security Symposium, pp. 1451–1468. Available at: https://www.usenix.org/conference/usenixsecurity22/presentation/stadler (Accessed: 11 August 2026).</w:t>
      </w:r>
    </w:p>
    <w:p w14:paraId="11B28AC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Tabassi, E. (2023) Artificial Intelligence Risk Management Framework (AI RMF 1.0). NIST AI 100-1. https://doi.org/10.6028/NIST.AI.100-1</w:t>
      </w:r>
    </w:p>
    <w:p w14:paraId="09839D3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lastRenderedPageBreak/>
        <w:t>Trautwein, D., Raman, A., Tyson, G., Castro, I., Scott, W., Schubotz, M., Gipp, B. and Psaras, Y. (2022) ‘Design and evaluation of IPFS: a storage layer for the decentralised web’, Proceedings of ACM SIGCOMM 2022, pp. 739–752. https://doi.org/10.1145/3544216.3544232</w:t>
      </w:r>
    </w:p>
    <w:p w14:paraId="1933DA9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Wang, G., Chen, L., Dikshit, A., Gustafson, J., Chen, B., Sax, M.J., Roesler, J., Blee-Goldman, S., Cadonna, B., Mehta, A., Madan, V. and Rao, J. (2021) ‘Consistency and completeness: rethinking distributed stream processing in Apache Kafka’, Proceedings of the 2021 International Conference on Management of Data, pp. 2602–2613. https://doi.org/10.1145/3448016.3457556</w:t>
      </w:r>
    </w:p>
    <w:p w14:paraId="7554C95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Washizaki, H. (ed.) (2026) Guide to the Software Engineering Body of Knowledge (SWEBOK Guide), version 4.0a. IEEE Computer Society. Available at: https://ieeecs-media.computer.org/media/education/swebok/swebok-v4.pdf (Accessed: 21 August 2026).</w:t>
      </w:r>
    </w:p>
    <w:p w14:paraId="50BDC2B6" w14:textId="77777777" w:rsidR="00FE2287" w:rsidRPr="00E4528F" w:rsidRDefault="00000000">
      <w:pPr>
        <w:pStyle w:val="Heading1"/>
        <w:pageBreakBefore/>
        <w:rPr>
          <w:rFonts w:ascii="Times New Roman" w:hAnsi="Times New Roman" w:cs="Times New Roman"/>
          <w:color w:val="000000" w:themeColor="text1"/>
        </w:rPr>
      </w:pPr>
      <w:bookmarkStart w:id="74" w:name="bm_app_a"/>
      <w:r w:rsidRPr="00E4528F">
        <w:rPr>
          <w:rFonts w:ascii="Times New Roman" w:hAnsi="Times New Roman" w:cs="Times New Roman"/>
          <w:color w:val="000000" w:themeColor="text1"/>
        </w:rPr>
        <w:lastRenderedPageBreak/>
        <w:t>Appendix A: Traceability Matrix</w:t>
      </w:r>
      <w:bookmarkEnd w:id="74"/>
    </w:p>
    <w:p w14:paraId="1AE3965D" w14:textId="77777777" w:rsidR="00FE2287" w:rsidRPr="00E4528F" w:rsidRDefault="00000000">
      <w:pPr>
        <w:rPr>
          <w:rFonts w:cs="Times New Roman"/>
          <w:color w:val="000000" w:themeColor="text1"/>
        </w:rPr>
      </w:pPr>
      <w:r w:rsidRPr="00E4528F">
        <w:rPr>
          <w:rFonts w:cs="Times New Roman"/>
          <w:color w:val="000000" w:themeColor="text1"/>
        </w:rPr>
        <w:t>This appendix links the principal research requirements to implementation locations and the strongest available evidence. Paths are repository-relative so that the record does not depend on the author’s workstation.</w:t>
      </w:r>
    </w:p>
    <w:p w14:paraId="280C23E3" w14:textId="77777777" w:rsidR="00FE2287" w:rsidRPr="00E4528F" w:rsidRDefault="00000000" w:rsidP="00C76C0C">
      <w:pPr>
        <w:pStyle w:val="Caption"/>
        <w:rPr>
          <w:rFonts w:cs="Times New Roman"/>
          <w:color w:val="000000" w:themeColor="text1"/>
        </w:rPr>
      </w:pPr>
      <w:bookmarkStart w:id="75" w:name="bm_tab_trace"/>
      <w:r w:rsidRPr="00E4528F">
        <w:rPr>
          <w:rFonts w:cs="Times New Roman"/>
          <w:color w:val="000000" w:themeColor="text1"/>
        </w:rPr>
        <w:t>Table A.1. Requirement-to-evidence traceability</w:t>
      </w:r>
      <w:bookmarkEnd w:id="7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2592"/>
        <w:gridCol w:w="2808"/>
        <w:gridCol w:w="1440"/>
      </w:tblGrid>
      <w:tr w:rsidR="00FE2287" w:rsidRPr="00E4528F" w14:paraId="5D8BF9A0" w14:textId="77777777">
        <w:trPr>
          <w:cantSplit/>
          <w:tblHeader/>
          <w:jc w:val="center"/>
        </w:trPr>
        <w:tc>
          <w:tcPr>
            <w:tcW w:w="1800" w:type="dxa"/>
            <w:shd w:val="clear" w:color="auto" w:fill="17365D"/>
            <w:tcMar>
              <w:top w:w="80" w:type="dxa"/>
              <w:left w:w="90" w:type="dxa"/>
              <w:bottom w:w="80" w:type="dxa"/>
              <w:right w:w="90" w:type="dxa"/>
            </w:tcMar>
            <w:vAlign w:val="center"/>
          </w:tcPr>
          <w:p w14:paraId="74C9747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Requirement</w:t>
            </w:r>
          </w:p>
        </w:tc>
        <w:tc>
          <w:tcPr>
            <w:tcW w:w="2592" w:type="dxa"/>
            <w:shd w:val="clear" w:color="auto" w:fill="17365D"/>
            <w:tcMar>
              <w:top w:w="80" w:type="dxa"/>
              <w:left w:w="90" w:type="dxa"/>
              <w:bottom w:w="80" w:type="dxa"/>
              <w:right w:w="90" w:type="dxa"/>
            </w:tcMar>
            <w:vAlign w:val="center"/>
          </w:tcPr>
          <w:p w14:paraId="6F869BA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Implementation location</w:t>
            </w:r>
          </w:p>
        </w:tc>
        <w:tc>
          <w:tcPr>
            <w:tcW w:w="2808" w:type="dxa"/>
            <w:shd w:val="clear" w:color="auto" w:fill="17365D"/>
            <w:tcMar>
              <w:top w:w="80" w:type="dxa"/>
              <w:left w:w="90" w:type="dxa"/>
              <w:bottom w:w="80" w:type="dxa"/>
              <w:right w:w="90" w:type="dxa"/>
            </w:tcMar>
            <w:vAlign w:val="center"/>
          </w:tcPr>
          <w:p w14:paraId="1A0E310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Primary evidence</w:t>
            </w:r>
          </w:p>
        </w:tc>
        <w:tc>
          <w:tcPr>
            <w:tcW w:w="1440" w:type="dxa"/>
            <w:shd w:val="clear" w:color="auto" w:fill="17365D"/>
            <w:tcMar>
              <w:top w:w="80" w:type="dxa"/>
              <w:left w:w="90" w:type="dxa"/>
              <w:bottom w:w="80" w:type="dxa"/>
              <w:right w:w="90" w:type="dxa"/>
            </w:tcMar>
            <w:vAlign w:val="center"/>
          </w:tcPr>
          <w:p w14:paraId="2D7ADD6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Status</w:t>
            </w:r>
          </w:p>
        </w:tc>
      </w:tr>
      <w:tr w:rsidR="00FE2287" w:rsidRPr="00E4528F" w14:paraId="491173B0" w14:textId="77777777">
        <w:trPr>
          <w:cantSplit/>
          <w:jc w:val="center"/>
        </w:trPr>
        <w:tc>
          <w:tcPr>
            <w:tcW w:w="1800" w:type="dxa"/>
            <w:tcMar>
              <w:top w:w="80" w:type="dxa"/>
              <w:left w:w="90" w:type="dxa"/>
              <w:bottom w:w="80" w:type="dxa"/>
              <w:right w:w="90" w:type="dxa"/>
            </w:tcMar>
            <w:vAlign w:val="center"/>
          </w:tcPr>
          <w:p w14:paraId="5DF46715"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R1 Policy-backed public origin</w:t>
            </w:r>
          </w:p>
        </w:tc>
        <w:tc>
          <w:tcPr>
            <w:tcW w:w="2592" w:type="dxa"/>
            <w:tcMar>
              <w:top w:w="80" w:type="dxa"/>
              <w:left w:w="90" w:type="dxa"/>
              <w:bottom w:w="80" w:type="dxa"/>
              <w:right w:w="90" w:type="dxa"/>
            </w:tcMar>
            <w:vAlign w:val="center"/>
          </w:tcPr>
          <w:p w14:paraId="0423896B" w14:textId="4159117C" w:rsidR="00FE2287" w:rsidRPr="00E4528F" w:rsidRDefault="00000000">
            <w:pPr>
              <w:spacing w:after="0" w:line="240" w:lineRule="auto"/>
              <w:rPr>
                <w:rFonts w:cs="Times New Roman"/>
                <w:color w:val="000000" w:themeColor="text1"/>
              </w:rPr>
            </w:pPr>
            <w:r>
              <w:rPr>
                <w:rFonts w:cs="Times New Roman"/>
                <w:color w:val="000000" w:themeColor="text1"/>
                <w:sz w:val="15"/>
              </w:rPr>
              <w:t>backend claimant_auth, policy_eligibility, claim_permits; relayer; registry contract</w:t>
            </w:r>
          </w:p>
        </w:tc>
        <w:tc>
          <w:tcPr>
            <w:tcW w:w="2808" w:type="dxa"/>
            <w:tcMar>
              <w:top w:w="80" w:type="dxa"/>
              <w:left w:w="90" w:type="dxa"/>
              <w:bottom w:w="80" w:type="dxa"/>
              <w:right w:w="90" w:type="dxa"/>
            </w:tcMar>
            <w:vAlign w:val="center"/>
          </w:tcPr>
          <w:p w14:paraId="625B79D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Wallet challenge, policy, permit, forwarder and access-control tests</w:t>
            </w:r>
          </w:p>
        </w:tc>
        <w:tc>
          <w:tcPr>
            <w:tcW w:w="1440" w:type="dxa"/>
            <w:tcMar>
              <w:top w:w="80" w:type="dxa"/>
              <w:left w:w="90" w:type="dxa"/>
              <w:bottom w:w="80" w:type="dxa"/>
              <w:right w:w="90" w:type="dxa"/>
            </w:tcMar>
            <w:vAlign w:val="center"/>
          </w:tcPr>
          <w:p w14:paraId="6A5E91E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43BCB465" w14:textId="77777777">
        <w:trPr>
          <w:cantSplit/>
          <w:jc w:val="center"/>
        </w:trPr>
        <w:tc>
          <w:tcPr>
            <w:tcW w:w="1800" w:type="dxa"/>
            <w:shd w:val="clear" w:color="auto" w:fill="F3F6F9"/>
            <w:tcMar>
              <w:top w:w="80" w:type="dxa"/>
              <w:left w:w="90" w:type="dxa"/>
              <w:bottom w:w="80" w:type="dxa"/>
              <w:right w:w="90" w:type="dxa"/>
            </w:tcMar>
            <w:vAlign w:val="center"/>
          </w:tcPr>
          <w:p w14:paraId="3D8FF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R2 Content binding</w:t>
            </w:r>
          </w:p>
        </w:tc>
        <w:tc>
          <w:tcPr>
            <w:tcW w:w="2592" w:type="dxa"/>
            <w:shd w:val="clear" w:color="auto" w:fill="F3F6F9"/>
            <w:tcMar>
              <w:top w:w="80" w:type="dxa"/>
              <w:left w:w="90" w:type="dxa"/>
              <w:bottom w:w="80" w:type="dxa"/>
              <w:right w:w="90" w:type="dxa"/>
            </w:tcMar>
            <w:vAlign w:val="center"/>
          </w:tcPr>
          <w:p w14:paraId="56DF96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backend IPFS/content verification</w:t>
            </w:r>
          </w:p>
        </w:tc>
        <w:tc>
          <w:tcPr>
            <w:tcW w:w="2808" w:type="dxa"/>
            <w:shd w:val="clear" w:color="auto" w:fill="F3F6F9"/>
            <w:tcMar>
              <w:top w:w="80" w:type="dxa"/>
              <w:left w:w="90" w:type="dxa"/>
              <w:bottom w:w="80" w:type="dxa"/>
              <w:right w:w="90" w:type="dxa"/>
            </w:tcMar>
            <w:vAlign w:val="center"/>
          </w:tcPr>
          <w:p w14:paraId="5A9BED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Hash/CID validation tests</w:t>
            </w:r>
          </w:p>
        </w:tc>
        <w:tc>
          <w:tcPr>
            <w:tcW w:w="1440" w:type="dxa"/>
            <w:shd w:val="clear" w:color="auto" w:fill="F3F6F9"/>
            <w:tcMar>
              <w:top w:w="80" w:type="dxa"/>
              <w:left w:w="90" w:type="dxa"/>
              <w:bottom w:w="80" w:type="dxa"/>
              <w:right w:w="90" w:type="dxa"/>
            </w:tcMar>
            <w:vAlign w:val="center"/>
          </w:tcPr>
          <w:p w14:paraId="2AFCEA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22EAA5DD" w14:textId="77777777">
        <w:trPr>
          <w:cantSplit/>
          <w:jc w:val="center"/>
        </w:trPr>
        <w:tc>
          <w:tcPr>
            <w:tcW w:w="1800" w:type="dxa"/>
            <w:tcMar>
              <w:top w:w="80" w:type="dxa"/>
              <w:left w:w="90" w:type="dxa"/>
              <w:bottom w:w="80" w:type="dxa"/>
              <w:right w:w="90" w:type="dxa"/>
            </w:tcMar>
            <w:vAlign w:val="center"/>
          </w:tcPr>
          <w:p w14:paraId="3961719D"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R3 Lifecycle and party attribution</w:t>
            </w:r>
          </w:p>
        </w:tc>
        <w:tc>
          <w:tcPr>
            <w:tcW w:w="2592" w:type="dxa"/>
            <w:tcMar>
              <w:top w:w="80" w:type="dxa"/>
              <w:left w:w="90" w:type="dxa"/>
              <w:bottom w:w="80" w:type="dxa"/>
              <w:right w:w="90" w:type="dxa"/>
            </w:tcMar>
            <w:vAlign w:val="center"/>
          </w:tcPr>
          <w:p w14:paraId="6A507597"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registry contract and chain index</w:t>
            </w:r>
          </w:p>
        </w:tc>
        <w:tc>
          <w:tcPr>
            <w:tcW w:w="2808" w:type="dxa"/>
            <w:tcMar>
              <w:top w:w="80" w:type="dxa"/>
              <w:left w:w="90" w:type="dxa"/>
              <w:bottom w:w="80" w:type="dxa"/>
              <w:right w:w="90" w:type="dxa"/>
            </w:tcMar>
            <w:vAlign w:val="center"/>
          </w:tcPr>
          <w:p w14:paraId="2BBC0EB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Lifecycle, scope, immutability and ClaimPartiesRecorded tests</w:t>
            </w:r>
          </w:p>
        </w:tc>
        <w:tc>
          <w:tcPr>
            <w:tcW w:w="1440" w:type="dxa"/>
            <w:tcMar>
              <w:top w:w="80" w:type="dxa"/>
              <w:left w:w="90" w:type="dxa"/>
              <w:bottom w:w="80" w:type="dxa"/>
              <w:right w:w="90" w:type="dxa"/>
            </w:tcMar>
            <w:vAlign w:val="center"/>
          </w:tcPr>
          <w:p w14:paraId="688DCC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4795537A" w14:textId="77777777">
        <w:trPr>
          <w:cantSplit/>
          <w:jc w:val="center"/>
        </w:trPr>
        <w:tc>
          <w:tcPr>
            <w:tcW w:w="1800" w:type="dxa"/>
            <w:shd w:val="clear" w:color="auto" w:fill="F3F6F9"/>
            <w:tcMar>
              <w:top w:w="80" w:type="dxa"/>
              <w:left w:w="90" w:type="dxa"/>
              <w:bottom w:w="80" w:type="dxa"/>
              <w:right w:w="90" w:type="dxa"/>
            </w:tcMar>
            <w:vAlign w:val="center"/>
          </w:tcPr>
          <w:p w14:paraId="1EE9C9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R4 Event delivery</w:t>
            </w:r>
          </w:p>
        </w:tc>
        <w:tc>
          <w:tcPr>
            <w:tcW w:w="2592" w:type="dxa"/>
            <w:shd w:val="clear" w:color="auto" w:fill="F3F6F9"/>
            <w:tcMar>
              <w:top w:w="80" w:type="dxa"/>
              <w:left w:w="90" w:type="dxa"/>
              <w:bottom w:w="80" w:type="dxa"/>
              <w:right w:w="90" w:type="dxa"/>
            </w:tcMar>
            <w:vAlign w:val="center"/>
          </w:tcPr>
          <w:p w14:paraId="09E718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listener and PostgreSQL index</w:t>
            </w:r>
          </w:p>
        </w:tc>
        <w:tc>
          <w:tcPr>
            <w:tcW w:w="2808" w:type="dxa"/>
            <w:shd w:val="clear" w:color="auto" w:fill="F3F6F9"/>
            <w:tcMar>
              <w:top w:w="80" w:type="dxa"/>
              <w:left w:w="90" w:type="dxa"/>
              <w:bottom w:w="80" w:type="dxa"/>
              <w:right w:w="90" w:type="dxa"/>
            </w:tcMar>
            <w:vAlign w:val="center"/>
          </w:tcPr>
          <w:p w14:paraId="01AD13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Range checkpoint and Kafka acknowledgement tests</w:t>
            </w:r>
          </w:p>
        </w:tc>
        <w:tc>
          <w:tcPr>
            <w:tcW w:w="1440" w:type="dxa"/>
            <w:shd w:val="clear" w:color="auto" w:fill="F3F6F9"/>
            <w:tcMar>
              <w:top w:w="80" w:type="dxa"/>
              <w:left w:w="90" w:type="dxa"/>
              <w:bottom w:w="80" w:type="dxa"/>
              <w:right w:w="90" w:type="dxa"/>
            </w:tcMar>
            <w:vAlign w:val="center"/>
          </w:tcPr>
          <w:p w14:paraId="67BFE3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1F8B2B70" w14:textId="77777777">
        <w:trPr>
          <w:cantSplit/>
          <w:jc w:val="center"/>
        </w:trPr>
        <w:tc>
          <w:tcPr>
            <w:tcW w:w="1800" w:type="dxa"/>
            <w:tcMar>
              <w:top w:w="80" w:type="dxa"/>
              <w:left w:w="90" w:type="dxa"/>
              <w:bottom w:w="80" w:type="dxa"/>
              <w:right w:w="90" w:type="dxa"/>
            </w:tcMar>
            <w:vAlign w:val="center"/>
          </w:tcPr>
          <w:p w14:paraId="46B057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R5 Replay safety</w:t>
            </w:r>
          </w:p>
        </w:tc>
        <w:tc>
          <w:tcPr>
            <w:tcW w:w="2592" w:type="dxa"/>
            <w:tcMar>
              <w:top w:w="80" w:type="dxa"/>
              <w:left w:w="90" w:type="dxa"/>
              <w:bottom w:w="80" w:type="dxa"/>
              <w:right w:w="90" w:type="dxa"/>
            </w:tcMar>
            <w:vAlign w:val="center"/>
          </w:tcPr>
          <w:p w14:paraId="760743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worker persistence and status writer</w:t>
            </w:r>
          </w:p>
        </w:tc>
        <w:tc>
          <w:tcPr>
            <w:tcW w:w="2808" w:type="dxa"/>
            <w:tcMar>
              <w:top w:w="80" w:type="dxa"/>
              <w:left w:w="90" w:type="dxa"/>
              <w:bottom w:w="80" w:type="dxa"/>
              <w:right w:w="90" w:type="dxa"/>
            </w:tcMar>
            <w:vAlign w:val="center"/>
          </w:tcPr>
          <w:p w14:paraId="0FBAC8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Idempotency/completed-result reuse tests</w:t>
            </w:r>
          </w:p>
        </w:tc>
        <w:tc>
          <w:tcPr>
            <w:tcW w:w="1440" w:type="dxa"/>
            <w:tcMar>
              <w:top w:w="80" w:type="dxa"/>
              <w:left w:w="90" w:type="dxa"/>
              <w:bottom w:w="80" w:type="dxa"/>
              <w:right w:w="90" w:type="dxa"/>
            </w:tcMar>
            <w:vAlign w:val="center"/>
          </w:tcPr>
          <w:p w14:paraId="0BB7A6E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6BFF0997" w14:textId="77777777">
        <w:trPr>
          <w:cantSplit/>
          <w:jc w:val="center"/>
        </w:trPr>
        <w:tc>
          <w:tcPr>
            <w:tcW w:w="1800" w:type="dxa"/>
            <w:shd w:val="clear" w:color="auto" w:fill="F3F6F9"/>
            <w:tcMar>
              <w:top w:w="80" w:type="dxa"/>
              <w:left w:w="90" w:type="dxa"/>
              <w:bottom w:w="80" w:type="dxa"/>
              <w:right w:w="90" w:type="dxa"/>
            </w:tcMar>
            <w:vAlign w:val="center"/>
          </w:tcPr>
          <w:p w14:paraId="390E25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R6 Public minimisation</w:t>
            </w:r>
          </w:p>
        </w:tc>
        <w:tc>
          <w:tcPr>
            <w:tcW w:w="2592" w:type="dxa"/>
            <w:shd w:val="clear" w:color="auto" w:fill="F3F6F9"/>
            <w:tcMar>
              <w:top w:w="80" w:type="dxa"/>
              <w:left w:w="90" w:type="dxa"/>
              <w:bottom w:w="80" w:type="dxa"/>
              <w:right w:w="90" w:type="dxa"/>
            </w:tcMar>
            <w:vAlign w:val="center"/>
          </w:tcPr>
          <w:p w14:paraId="6EC759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contract schema and README data classification</w:t>
            </w:r>
          </w:p>
        </w:tc>
        <w:tc>
          <w:tcPr>
            <w:tcW w:w="2808" w:type="dxa"/>
            <w:shd w:val="clear" w:color="auto" w:fill="F3F6F9"/>
            <w:tcMar>
              <w:top w:w="80" w:type="dxa"/>
              <w:left w:w="90" w:type="dxa"/>
              <w:bottom w:w="80" w:type="dxa"/>
              <w:right w:w="90" w:type="dxa"/>
            </w:tcMar>
            <w:vAlign w:val="center"/>
          </w:tcPr>
          <w:p w14:paraId="70CDCB8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Code and schema inspection</w:t>
            </w:r>
          </w:p>
        </w:tc>
        <w:tc>
          <w:tcPr>
            <w:tcW w:w="1440" w:type="dxa"/>
            <w:shd w:val="clear" w:color="auto" w:fill="F3F6F9"/>
            <w:tcMar>
              <w:top w:w="80" w:type="dxa"/>
              <w:left w:w="90" w:type="dxa"/>
              <w:bottom w:w="80" w:type="dxa"/>
              <w:right w:w="90" w:type="dxa"/>
            </w:tcMar>
            <w:vAlign w:val="center"/>
          </w:tcPr>
          <w:p w14:paraId="22066FE3" w14:textId="1100ABB3"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legal review pending</w:t>
            </w:r>
          </w:p>
        </w:tc>
      </w:tr>
      <w:tr w:rsidR="00FE2287" w:rsidRPr="00E4528F" w14:paraId="2E1F5DCE" w14:textId="77777777">
        <w:trPr>
          <w:cantSplit/>
          <w:jc w:val="center"/>
        </w:trPr>
        <w:tc>
          <w:tcPr>
            <w:tcW w:w="1800" w:type="dxa"/>
            <w:tcMar>
              <w:top w:w="80" w:type="dxa"/>
              <w:left w:w="90" w:type="dxa"/>
              <w:bottom w:w="80" w:type="dxa"/>
              <w:right w:w="90" w:type="dxa"/>
            </w:tcMar>
            <w:vAlign w:val="center"/>
          </w:tcPr>
          <w:p w14:paraId="321FD3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R7 Private duplicate screen</w:t>
            </w:r>
          </w:p>
        </w:tc>
        <w:tc>
          <w:tcPr>
            <w:tcW w:w="2592" w:type="dxa"/>
            <w:tcMar>
              <w:top w:w="80" w:type="dxa"/>
              <w:left w:w="90" w:type="dxa"/>
              <w:bottom w:w="80" w:type="dxa"/>
              <w:right w:w="90" w:type="dxa"/>
            </w:tcMar>
            <w:vAlign w:val="center"/>
          </w:tcPr>
          <w:p w14:paraId="0A039F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feature processor and duplicate service</w:t>
            </w:r>
          </w:p>
        </w:tc>
        <w:tc>
          <w:tcPr>
            <w:tcW w:w="2808" w:type="dxa"/>
            <w:tcMar>
              <w:top w:w="80" w:type="dxa"/>
              <w:left w:w="90" w:type="dxa"/>
              <w:bottom w:w="80" w:type="dxa"/>
              <w:right w:w="90" w:type="dxa"/>
            </w:tcMar>
            <w:vAlign w:val="center"/>
          </w:tcPr>
          <w:p w14:paraId="47FA16A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HMAC/canonicalisation behaviour tests</w:t>
            </w:r>
          </w:p>
        </w:tc>
        <w:tc>
          <w:tcPr>
            <w:tcW w:w="1440" w:type="dxa"/>
            <w:tcMar>
              <w:top w:w="80" w:type="dxa"/>
              <w:left w:w="90" w:type="dxa"/>
              <w:bottom w:w="80" w:type="dxa"/>
              <w:right w:w="90" w:type="dxa"/>
            </w:tcMar>
            <w:vAlign w:val="center"/>
          </w:tcPr>
          <w:p w14:paraId="60440FCF" w14:textId="61C7A9D9"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key governance pending</w:t>
            </w:r>
          </w:p>
        </w:tc>
      </w:tr>
      <w:tr w:rsidR="00FE2287" w:rsidRPr="00E4528F" w14:paraId="441D4893" w14:textId="77777777">
        <w:trPr>
          <w:cantSplit/>
          <w:jc w:val="center"/>
        </w:trPr>
        <w:tc>
          <w:tcPr>
            <w:tcW w:w="1800" w:type="dxa"/>
            <w:shd w:val="clear" w:color="auto" w:fill="F3F6F9"/>
            <w:tcMar>
              <w:top w:w="80" w:type="dxa"/>
              <w:left w:w="90" w:type="dxa"/>
              <w:bottom w:w="80" w:type="dxa"/>
              <w:right w:w="90" w:type="dxa"/>
            </w:tcMar>
            <w:vAlign w:val="center"/>
          </w:tcPr>
          <w:p w14:paraId="045E670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R8 Reproducible model</w:t>
            </w:r>
          </w:p>
        </w:tc>
        <w:tc>
          <w:tcPr>
            <w:tcW w:w="2592" w:type="dxa"/>
            <w:shd w:val="clear" w:color="auto" w:fill="F3F6F9"/>
            <w:tcMar>
              <w:top w:w="80" w:type="dxa"/>
              <w:left w:w="90" w:type="dxa"/>
              <w:bottom w:w="80" w:type="dxa"/>
              <w:right w:w="90" w:type="dxa"/>
            </w:tcMar>
            <w:vAlign w:val="center"/>
          </w:tcPr>
          <w:p w14:paraId="34A249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packages/model/artifacts/xgboost-african-motor-v1</w:t>
            </w:r>
          </w:p>
        </w:tc>
        <w:tc>
          <w:tcPr>
            <w:tcW w:w="2808" w:type="dxa"/>
            <w:shd w:val="clear" w:color="auto" w:fill="F3F6F9"/>
            <w:tcMar>
              <w:top w:w="80" w:type="dxa"/>
              <w:left w:w="90" w:type="dxa"/>
              <w:bottom w:w="80" w:type="dxa"/>
              <w:right w:w="90" w:type="dxa"/>
            </w:tcMar>
            <w:vAlign w:val="center"/>
          </w:tcPr>
          <w:p w14:paraId="50ECD5A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Dataset/model hashes, split and report metadata</w:t>
            </w:r>
          </w:p>
        </w:tc>
        <w:tc>
          <w:tcPr>
            <w:tcW w:w="1440" w:type="dxa"/>
            <w:shd w:val="clear" w:color="auto" w:fill="F3F6F9"/>
            <w:tcMar>
              <w:top w:w="80" w:type="dxa"/>
              <w:left w:w="90" w:type="dxa"/>
              <w:bottom w:w="80" w:type="dxa"/>
              <w:right w:w="90" w:type="dxa"/>
            </w:tcMar>
            <w:vAlign w:val="center"/>
          </w:tcPr>
          <w:p w14:paraId="28CC63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Base model evidenced; advanced audit not archived</w:t>
            </w:r>
          </w:p>
        </w:tc>
      </w:tr>
      <w:tr w:rsidR="00FE2287" w:rsidRPr="00E4528F" w14:paraId="68C904E6" w14:textId="77777777">
        <w:trPr>
          <w:cantSplit/>
          <w:jc w:val="center"/>
        </w:trPr>
        <w:tc>
          <w:tcPr>
            <w:tcW w:w="1800" w:type="dxa"/>
            <w:tcMar>
              <w:top w:w="80" w:type="dxa"/>
              <w:left w:w="90" w:type="dxa"/>
              <w:bottom w:w="80" w:type="dxa"/>
              <w:right w:w="90" w:type="dxa"/>
            </w:tcMar>
            <w:vAlign w:val="center"/>
          </w:tcPr>
          <w:p w14:paraId="3276037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R9 Human-review boundary</w:t>
            </w:r>
          </w:p>
        </w:tc>
        <w:tc>
          <w:tcPr>
            <w:tcW w:w="2592" w:type="dxa"/>
            <w:tcMar>
              <w:top w:w="80" w:type="dxa"/>
              <w:left w:w="90" w:type="dxa"/>
              <w:bottom w:w="80" w:type="dxa"/>
              <w:right w:w="90" w:type="dxa"/>
            </w:tcMar>
            <w:vAlign w:val="center"/>
          </w:tcPr>
          <w:p w14:paraId="74700B27"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assessor outcome API, PostgreSQL repository and assessor frontend</w:t>
            </w:r>
          </w:p>
        </w:tc>
        <w:tc>
          <w:tcPr>
            <w:tcW w:w="2808" w:type="dxa"/>
            <w:tcMar>
              <w:top w:w="80" w:type="dxa"/>
              <w:left w:w="90" w:type="dxa"/>
              <w:bottom w:w="80" w:type="dxa"/>
              <w:right w:w="90" w:type="dxa"/>
            </w:tcMar>
            <w:vAlign w:val="center"/>
          </w:tcPr>
          <w:p w14:paraId="0968BAF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Append-only revision, authentication and prohibited-effect tests</w:t>
            </w:r>
          </w:p>
        </w:tc>
        <w:tc>
          <w:tcPr>
            <w:tcW w:w="1440" w:type="dxa"/>
            <w:tcMar>
              <w:top w:w="80" w:type="dxa"/>
              <w:left w:w="90" w:type="dxa"/>
              <w:bottom w:w="80" w:type="dxa"/>
              <w:right w:w="90" w:type="dxa"/>
            </w:tcMar>
            <w:vAlign w:val="center"/>
          </w:tcPr>
          <w:p w14:paraId="11D9BA34" w14:textId="43CBD009" w:rsidR="00FE2287" w:rsidRPr="00E4528F" w:rsidRDefault="00000000">
            <w:pPr>
              <w:spacing w:after="0" w:line="240" w:lineRule="auto"/>
              <w:rPr>
                <w:rFonts w:cs="Times New Roman"/>
                <w:color w:val="000000" w:themeColor="text1"/>
              </w:rPr>
            </w:pPr>
            <w:r>
              <w:rPr>
                <w:rFonts w:cs="Times New Roman"/>
                <w:color w:val="000000" w:themeColor="text1"/>
                <w:sz w:val="15"/>
              </w:rPr>
              <w:t>Implemented and tested; production IAM and user study pending</w:t>
            </w:r>
          </w:p>
        </w:tc>
      </w:tr>
      <w:tr w:rsidR="00FE2287" w:rsidRPr="00E4528F" w14:paraId="43BD9FA4" w14:textId="77777777">
        <w:trPr>
          <w:cantSplit/>
          <w:jc w:val="center"/>
        </w:trPr>
        <w:tc>
          <w:tcPr>
            <w:tcW w:w="1800" w:type="dxa"/>
            <w:shd w:val="clear" w:color="auto" w:fill="F3F6F9"/>
            <w:tcMar>
              <w:top w:w="80" w:type="dxa"/>
              <w:left w:w="90" w:type="dxa"/>
              <w:bottom w:w="80" w:type="dxa"/>
              <w:right w:w="90" w:type="dxa"/>
            </w:tcMar>
            <w:vAlign w:val="center"/>
          </w:tcPr>
          <w:p w14:paraId="02CDEB9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Production scalability</w:t>
            </w:r>
          </w:p>
        </w:tc>
        <w:tc>
          <w:tcPr>
            <w:tcW w:w="2592" w:type="dxa"/>
            <w:shd w:val="clear" w:color="auto" w:fill="F3F6F9"/>
            <w:tcMar>
              <w:top w:w="80" w:type="dxa"/>
              <w:left w:w="90" w:type="dxa"/>
              <w:bottom w:w="80" w:type="dxa"/>
              <w:right w:w="90" w:type="dxa"/>
            </w:tcMar>
            <w:vAlign w:val="center"/>
          </w:tcPr>
          <w:p w14:paraId="30D483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Partitionable service seams</w:t>
            </w:r>
          </w:p>
        </w:tc>
        <w:tc>
          <w:tcPr>
            <w:tcW w:w="2808" w:type="dxa"/>
            <w:shd w:val="clear" w:color="auto" w:fill="F3F6F9"/>
            <w:tcMar>
              <w:top w:w="80" w:type="dxa"/>
              <w:left w:w="90" w:type="dxa"/>
              <w:bottom w:w="80" w:type="dxa"/>
              <w:right w:w="90" w:type="dxa"/>
            </w:tcMar>
            <w:vAlign w:val="center"/>
          </w:tcPr>
          <w:p w14:paraId="63C20E6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controlled benchmark</w:t>
            </w:r>
          </w:p>
        </w:tc>
        <w:tc>
          <w:tcPr>
            <w:tcW w:w="1440" w:type="dxa"/>
            <w:shd w:val="clear" w:color="auto" w:fill="F3F6F9"/>
            <w:tcMar>
              <w:top w:w="80" w:type="dxa"/>
              <w:left w:w="90" w:type="dxa"/>
              <w:bottom w:w="80" w:type="dxa"/>
              <w:right w:w="90" w:type="dxa"/>
            </w:tcMar>
            <w:vAlign w:val="center"/>
          </w:tcPr>
          <w:p w14:paraId="26AFDCF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Not demonstrated</w:t>
            </w:r>
          </w:p>
        </w:tc>
      </w:tr>
    </w:tbl>
    <w:p w14:paraId="5CA2263A" w14:textId="77777777" w:rsidR="00FE2287" w:rsidRPr="00E4528F" w:rsidRDefault="00FE2287">
      <w:pPr>
        <w:spacing w:after="0"/>
        <w:rPr>
          <w:rFonts w:cs="Times New Roman"/>
          <w:color w:val="000000" w:themeColor="text1"/>
        </w:rPr>
      </w:pPr>
    </w:p>
    <w:p w14:paraId="53A15C21" w14:textId="1440DC8C" w:rsidR="00FE2287" w:rsidRDefault="00000000">
      <w:pPr>
        <w:pStyle w:val="Heading1"/>
        <w:pageBreakBefore/>
        <w:rPr>
          <w:rFonts w:ascii="Times New Roman" w:hAnsi="Times New Roman" w:cs="Times New Roman"/>
          <w:color w:val="000000" w:themeColor="text1"/>
        </w:rPr>
      </w:pPr>
      <w:bookmarkStart w:id="76" w:name="bm_app_b"/>
      <w:r w:rsidRPr="00E4528F">
        <w:rPr>
          <w:rFonts w:ascii="Times New Roman" w:hAnsi="Times New Roman" w:cs="Times New Roman"/>
          <w:color w:val="000000" w:themeColor="text1"/>
        </w:rPr>
        <w:lastRenderedPageBreak/>
        <w:t xml:space="preserve">Appendix B: </w:t>
      </w:r>
      <w:r w:rsidR="00354F4A">
        <w:rPr>
          <w:rFonts w:ascii="Times New Roman" w:hAnsi="Times New Roman" w:cs="Times New Roman"/>
          <w:color w:val="000000" w:themeColor="text1"/>
        </w:rPr>
        <w:t xml:space="preserve">Source Code and </w:t>
      </w:r>
      <w:r w:rsidRPr="00E4528F">
        <w:rPr>
          <w:rFonts w:ascii="Times New Roman" w:hAnsi="Times New Roman" w:cs="Times New Roman"/>
          <w:color w:val="000000" w:themeColor="text1"/>
        </w:rPr>
        <w:t>Reproducibility Record</w:t>
      </w:r>
      <w:bookmarkEnd w:id="76"/>
    </w:p>
    <w:p w14:paraId="677F1900" w14:textId="009F5881" w:rsidR="00354F4A" w:rsidRPr="00354F4A" w:rsidRDefault="00354F4A" w:rsidP="00354F4A">
      <w:hyperlink r:id="rId21" w:history="1">
        <w:r w:rsidRPr="00354F4A">
          <w:rPr>
            <w:rStyle w:val="Hyperlink"/>
          </w:rPr>
          <w:t>Project Source Code</w:t>
        </w:r>
      </w:hyperlink>
    </w:p>
    <w:p w14:paraId="70584EC1" w14:textId="77777777" w:rsidR="00FE2287" w:rsidRPr="00E4528F" w:rsidRDefault="00000000">
      <w:pPr>
        <w:rPr>
          <w:rFonts w:cs="Times New Roman"/>
          <w:color w:val="000000" w:themeColor="text1"/>
        </w:rPr>
      </w:pPr>
      <w:r w:rsidRPr="00E4528F">
        <w:rPr>
          <w:rFonts w:cs="Times New Roman"/>
          <w:color w:val="000000" w:themeColor="text1"/>
        </w:rPr>
        <w:t>The values below identify the evaluated model and the verification commands used for the final evidence review. Reproduction also requires the dependency versions and environment configuration declared in the repository. Secrets, private keys and live personal data are not part of the record.</w:t>
      </w:r>
    </w:p>
    <w:p w14:paraId="06D22A1E" w14:textId="77777777" w:rsidR="00FE2287" w:rsidRPr="00E4528F" w:rsidRDefault="00000000" w:rsidP="00C76C0C">
      <w:pPr>
        <w:pStyle w:val="Caption"/>
        <w:rPr>
          <w:rFonts w:cs="Times New Roman"/>
          <w:color w:val="000000" w:themeColor="text1"/>
        </w:rPr>
      </w:pPr>
      <w:bookmarkStart w:id="77" w:name="bm_tab_repro"/>
      <w:r w:rsidRPr="00E4528F">
        <w:rPr>
          <w:rFonts w:cs="Times New Roman"/>
          <w:color w:val="000000" w:themeColor="text1"/>
        </w:rPr>
        <w:t>Table B.1. Reproducibility record</w:t>
      </w:r>
      <w:bookmarkEnd w:id="7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6552"/>
      </w:tblGrid>
      <w:tr w:rsidR="00FE2287" w:rsidRPr="00E4528F" w14:paraId="07919DB1" w14:textId="77777777">
        <w:trPr>
          <w:cantSplit/>
          <w:tblHeader/>
          <w:jc w:val="center"/>
        </w:trPr>
        <w:tc>
          <w:tcPr>
            <w:tcW w:w="2088" w:type="dxa"/>
            <w:shd w:val="clear" w:color="auto" w:fill="17365D"/>
            <w:tcMar>
              <w:top w:w="80" w:type="dxa"/>
              <w:left w:w="90" w:type="dxa"/>
              <w:bottom w:w="80" w:type="dxa"/>
              <w:right w:w="90" w:type="dxa"/>
            </w:tcMar>
            <w:vAlign w:val="center"/>
          </w:tcPr>
          <w:p w14:paraId="47A678DF"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Item</w:t>
            </w:r>
          </w:p>
        </w:tc>
        <w:tc>
          <w:tcPr>
            <w:tcW w:w="6552" w:type="dxa"/>
            <w:shd w:val="clear" w:color="auto" w:fill="17365D"/>
            <w:tcMar>
              <w:top w:w="80" w:type="dxa"/>
              <w:left w:w="90" w:type="dxa"/>
              <w:bottom w:w="80" w:type="dxa"/>
              <w:right w:w="90" w:type="dxa"/>
            </w:tcMar>
            <w:vAlign w:val="center"/>
          </w:tcPr>
          <w:p w14:paraId="5877D0C9"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Recorded value</w:t>
            </w:r>
          </w:p>
        </w:tc>
      </w:tr>
      <w:tr w:rsidR="00FE2287" w:rsidRPr="00E4528F" w14:paraId="6123E057" w14:textId="77777777">
        <w:trPr>
          <w:cantSplit/>
          <w:jc w:val="center"/>
        </w:trPr>
        <w:tc>
          <w:tcPr>
            <w:tcW w:w="2088" w:type="dxa"/>
            <w:tcMar>
              <w:top w:w="80" w:type="dxa"/>
              <w:left w:w="90" w:type="dxa"/>
              <w:bottom w:w="80" w:type="dxa"/>
              <w:right w:w="90" w:type="dxa"/>
            </w:tcMar>
            <w:vAlign w:val="center"/>
          </w:tcPr>
          <w:p w14:paraId="785B4D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reference</w:t>
            </w:r>
          </w:p>
        </w:tc>
        <w:tc>
          <w:tcPr>
            <w:tcW w:w="6552" w:type="dxa"/>
            <w:tcMar>
              <w:top w:w="80" w:type="dxa"/>
              <w:left w:w="90" w:type="dxa"/>
              <w:bottom w:w="80" w:type="dxa"/>
              <w:right w:w="90" w:type="dxa"/>
            </w:tcMar>
            <w:vAlign w:val="center"/>
          </w:tcPr>
          <w:p w14:paraId="61BE6B3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electricsheepafrica/africa-synth-motor-insurance-claims-all@7b8b6e8526c28ea54ae8e6414666d48d108221a1</w:t>
            </w:r>
          </w:p>
        </w:tc>
      </w:tr>
      <w:tr w:rsidR="00FE2287" w:rsidRPr="00E4528F" w14:paraId="3E5D20DF" w14:textId="77777777">
        <w:trPr>
          <w:cantSplit/>
          <w:jc w:val="center"/>
        </w:trPr>
        <w:tc>
          <w:tcPr>
            <w:tcW w:w="2088" w:type="dxa"/>
            <w:shd w:val="clear" w:color="auto" w:fill="F3F6F9"/>
            <w:tcMar>
              <w:top w:w="80" w:type="dxa"/>
              <w:left w:w="90" w:type="dxa"/>
              <w:bottom w:w="80" w:type="dxa"/>
              <w:right w:w="90" w:type="dxa"/>
            </w:tcMar>
            <w:vAlign w:val="center"/>
          </w:tcPr>
          <w:p w14:paraId="38624EC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SHA-256</w:t>
            </w:r>
          </w:p>
        </w:tc>
        <w:tc>
          <w:tcPr>
            <w:tcW w:w="6552" w:type="dxa"/>
            <w:shd w:val="clear" w:color="auto" w:fill="F3F6F9"/>
            <w:tcMar>
              <w:top w:w="80" w:type="dxa"/>
              <w:left w:w="90" w:type="dxa"/>
              <w:bottom w:w="80" w:type="dxa"/>
              <w:right w:w="90" w:type="dxa"/>
            </w:tcMar>
            <w:vAlign w:val="center"/>
          </w:tcPr>
          <w:p w14:paraId="2E744A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c82a531db73cf72de8791978b29799f53e828ad5891f9a170868f3111c45b457</w:t>
            </w:r>
          </w:p>
        </w:tc>
      </w:tr>
      <w:tr w:rsidR="00FE2287" w:rsidRPr="00E4528F" w14:paraId="37A9946B" w14:textId="77777777">
        <w:trPr>
          <w:cantSplit/>
          <w:jc w:val="center"/>
        </w:trPr>
        <w:tc>
          <w:tcPr>
            <w:tcW w:w="2088" w:type="dxa"/>
            <w:tcMar>
              <w:top w:w="80" w:type="dxa"/>
              <w:left w:w="90" w:type="dxa"/>
              <w:bottom w:w="80" w:type="dxa"/>
              <w:right w:w="90" w:type="dxa"/>
            </w:tcMar>
            <w:vAlign w:val="center"/>
          </w:tcPr>
          <w:p w14:paraId="15C2EB7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version</w:t>
            </w:r>
          </w:p>
        </w:tc>
        <w:tc>
          <w:tcPr>
            <w:tcW w:w="6552" w:type="dxa"/>
            <w:tcMar>
              <w:top w:w="80" w:type="dxa"/>
              <w:left w:w="90" w:type="dxa"/>
              <w:bottom w:w="80" w:type="dxa"/>
              <w:right w:w="90" w:type="dxa"/>
            </w:tcMar>
            <w:vAlign w:val="center"/>
          </w:tcPr>
          <w:p w14:paraId="71CF45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african-motor-xgboost-v1</w:t>
            </w:r>
          </w:p>
        </w:tc>
      </w:tr>
      <w:tr w:rsidR="00FE2287" w:rsidRPr="00E4528F" w14:paraId="5A73547B" w14:textId="77777777">
        <w:trPr>
          <w:cantSplit/>
          <w:jc w:val="center"/>
        </w:trPr>
        <w:tc>
          <w:tcPr>
            <w:tcW w:w="2088" w:type="dxa"/>
            <w:shd w:val="clear" w:color="auto" w:fill="F3F6F9"/>
            <w:tcMar>
              <w:top w:w="80" w:type="dxa"/>
              <w:left w:w="90" w:type="dxa"/>
              <w:bottom w:w="80" w:type="dxa"/>
              <w:right w:w="90" w:type="dxa"/>
            </w:tcMar>
            <w:vAlign w:val="center"/>
          </w:tcPr>
          <w:p w14:paraId="7FAF95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SHA-256</w:t>
            </w:r>
          </w:p>
        </w:tc>
        <w:tc>
          <w:tcPr>
            <w:tcW w:w="6552" w:type="dxa"/>
            <w:shd w:val="clear" w:color="auto" w:fill="F3F6F9"/>
            <w:tcMar>
              <w:top w:w="80" w:type="dxa"/>
              <w:left w:w="90" w:type="dxa"/>
              <w:bottom w:w="80" w:type="dxa"/>
              <w:right w:w="90" w:type="dxa"/>
            </w:tcMar>
            <w:vAlign w:val="center"/>
          </w:tcPr>
          <w:p w14:paraId="0E11C3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76b020cda978fbe32ec5790261bc6914c1023a32467cdcb90e05aa7fab3e60eb</w:t>
            </w:r>
          </w:p>
        </w:tc>
      </w:tr>
      <w:tr w:rsidR="00FE2287" w:rsidRPr="00E4528F" w14:paraId="2CD3E2A5" w14:textId="77777777">
        <w:trPr>
          <w:cantSplit/>
          <w:jc w:val="center"/>
        </w:trPr>
        <w:tc>
          <w:tcPr>
            <w:tcW w:w="2088" w:type="dxa"/>
            <w:tcMar>
              <w:top w:w="80" w:type="dxa"/>
              <w:left w:w="90" w:type="dxa"/>
              <w:bottom w:w="80" w:type="dxa"/>
              <w:right w:w="90" w:type="dxa"/>
            </w:tcMar>
            <w:vAlign w:val="center"/>
          </w:tcPr>
          <w:p w14:paraId="157CDF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Split</w:t>
            </w:r>
          </w:p>
        </w:tc>
        <w:tc>
          <w:tcPr>
            <w:tcW w:w="6552" w:type="dxa"/>
            <w:tcMar>
              <w:top w:w="80" w:type="dxa"/>
              <w:left w:w="90" w:type="dxa"/>
              <w:bottom w:w="80" w:type="dxa"/>
              <w:right w:w="90" w:type="dxa"/>
            </w:tcMar>
            <w:vAlign w:val="center"/>
          </w:tcPr>
          <w:p w14:paraId="729081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Chronological 70/15/15: 69,987 / 14,997 / 14,998 rows</w:t>
            </w:r>
          </w:p>
        </w:tc>
      </w:tr>
      <w:tr w:rsidR="00FE2287" w:rsidRPr="00E4528F" w14:paraId="6D6F4E93" w14:textId="77777777">
        <w:trPr>
          <w:cantSplit/>
          <w:jc w:val="center"/>
        </w:trPr>
        <w:tc>
          <w:tcPr>
            <w:tcW w:w="2088" w:type="dxa"/>
            <w:shd w:val="clear" w:color="auto" w:fill="F3F6F9"/>
            <w:tcMar>
              <w:top w:w="80" w:type="dxa"/>
              <w:left w:w="90" w:type="dxa"/>
              <w:bottom w:w="80" w:type="dxa"/>
              <w:right w:w="90" w:type="dxa"/>
            </w:tcMar>
            <w:vAlign w:val="center"/>
          </w:tcPr>
          <w:p w14:paraId="57AA8D1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verification</w:t>
            </w:r>
          </w:p>
        </w:tc>
        <w:tc>
          <w:tcPr>
            <w:tcW w:w="6552" w:type="dxa"/>
            <w:shd w:val="clear" w:color="auto" w:fill="F3F6F9"/>
            <w:tcMar>
              <w:top w:w="80" w:type="dxa"/>
              <w:left w:w="90" w:type="dxa"/>
              <w:bottom w:w="80" w:type="dxa"/>
              <w:right w:w="90" w:type="dxa"/>
            </w:tcMar>
            <w:vAlign w:val="center"/>
          </w:tcPr>
          <w:p w14:paraId="44F45B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-m pytest -m 'not integration' with branch coverage threshold 75%</w:t>
            </w:r>
          </w:p>
        </w:tc>
      </w:tr>
      <w:tr w:rsidR="00FE2287" w:rsidRPr="00E4528F" w14:paraId="75C3C3F3" w14:textId="77777777">
        <w:trPr>
          <w:cantSplit/>
          <w:jc w:val="center"/>
        </w:trPr>
        <w:tc>
          <w:tcPr>
            <w:tcW w:w="2088" w:type="dxa"/>
            <w:tcMar>
              <w:top w:w="80" w:type="dxa"/>
              <w:left w:w="90" w:type="dxa"/>
              <w:bottom w:w="80" w:type="dxa"/>
              <w:right w:w="90" w:type="dxa"/>
            </w:tcMar>
            <w:vAlign w:val="center"/>
          </w:tcPr>
          <w:p w14:paraId="622648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Frontend verification</w:t>
            </w:r>
          </w:p>
        </w:tc>
        <w:tc>
          <w:tcPr>
            <w:tcW w:w="6552" w:type="dxa"/>
            <w:tcMar>
              <w:top w:w="80" w:type="dxa"/>
              <w:left w:w="90" w:type="dxa"/>
              <w:bottom w:w="80" w:type="dxa"/>
              <w:right w:w="90" w:type="dxa"/>
            </w:tcMar>
            <w:vAlign w:val="center"/>
          </w:tcPr>
          <w:p w14:paraId="71A8DA18" w14:textId="26941215"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 tests</w:t>
            </w:r>
            <w:r w:rsidR="004A2D19" w:rsidRPr="00E4528F">
              <w:rPr>
                <w:rFonts w:cs="Times New Roman"/>
                <w:color w:val="000000" w:themeColor="text1"/>
                <w:sz w:val="16"/>
              </w:rPr>
              <w:t>,</w:t>
            </w:r>
            <w:r w:rsidRPr="00E4528F">
              <w:rPr>
                <w:rFonts w:cs="Times New Roman"/>
                <w:color w:val="000000" w:themeColor="text1"/>
                <w:sz w:val="16"/>
              </w:rPr>
              <w:t xml:space="preserve"> lint</w:t>
            </w:r>
            <w:r w:rsidR="004A2D19" w:rsidRPr="00E4528F">
              <w:rPr>
                <w:rFonts w:cs="Times New Roman"/>
                <w:color w:val="000000" w:themeColor="text1"/>
                <w:sz w:val="16"/>
              </w:rPr>
              <w:t>,</w:t>
            </w:r>
            <w:r w:rsidRPr="00E4528F">
              <w:rPr>
                <w:rFonts w:cs="Times New Roman"/>
                <w:color w:val="000000" w:themeColor="text1"/>
                <w:sz w:val="16"/>
              </w:rPr>
              <w:t xml:space="preserve"> production build</w:t>
            </w:r>
          </w:p>
        </w:tc>
      </w:tr>
      <w:tr w:rsidR="00FE2287" w:rsidRPr="00E4528F" w14:paraId="37564F4C" w14:textId="77777777">
        <w:trPr>
          <w:cantSplit/>
          <w:jc w:val="center"/>
        </w:trPr>
        <w:tc>
          <w:tcPr>
            <w:tcW w:w="2088" w:type="dxa"/>
            <w:shd w:val="clear" w:color="auto" w:fill="F3F6F9"/>
            <w:tcMar>
              <w:top w:w="80" w:type="dxa"/>
              <w:left w:w="90" w:type="dxa"/>
              <w:bottom w:w="80" w:type="dxa"/>
              <w:right w:w="90" w:type="dxa"/>
            </w:tcMar>
            <w:vAlign w:val="center"/>
          </w:tcPr>
          <w:p w14:paraId="72413D6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Contract verification</w:t>
            </w:r>
          </w:p>
        </w:tc>
        <w:tc>
          <w:tcPr>
            <w:tcW w:w="6552" w:type="dxa"/>
            <w:shd w:val="clear" w:color="auto" w:fill="F3F6F9"/>
            <w:tcMar>
              <w:top w:w="80" w:type="dxa"/>
              <w:left w:w="90" w:type="dxa"/>
              <w:bottom w:w="80" w:type="dxa"/>
              <w:right w:w="90" w:type="dxa"/>
            </w:tcMar>
            <w:vAlign w:val="center"/>
          </w:tcPr>
          <w:p w14:paraId="4BDEA46A" w14:textId="7633AB36"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Hardhat tests using checked compiled artifacts</w:t>
            </w:r>
            <w:r w:rsidR="003915FB" w:rsidRPr="00E4528F">
              <w:rPr>
                <w:rFonts w:cs="Times New Roman"/>
                <w:color w:val="000000" w:themeColor="text1"/>
                <w:sz w:val="16"/>
              </w:rPr>
              <w:t>,</w:t>
            </w:r>
            <w:r w:rsidRPr="00E4528F">
              <w:rPr>
                <w:rFonts w:cs="Times New Roman"/>
                <w:color w:val="000000" w:themeColor="text1"/>
                <w:sz w:val="16"/>
              </w:rPr>
              <w:t xml:space="preserve"> Solidity fuzz runs included</w:t>
            </w:r>
          </w:p>
        </w:tc>
      </w:tr>
      <w:tr w:rsidR="00FE2287" w:rsidRPr="00E4528F" w14:paraId="10D0F281" w14:textId="77777777">
        <w:trPr>
          <w:cantSplit/>
          <w:jc w:val="center"/>
        </w:trPr>
        <w:tc>
          <w:tcPr>
            <w:tcW w:w="2088" w:type="dxa"/>
            <w:tcMar>
              <w:top w:w="80" w:type="dxa"/>
              <w:left w:w="90" w:type="dxa"/>
              <w:bottom w:w="80" w:type="dxa"/>
              <w:right w:w="90" w:type="dxa"/>
            </w:tcMar>
            <w:vAlign w:val="center"/>
          </w:tcPr>
          <w:p w14:paraId="052CF9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Browser verification</w:t>
            </w:r>
          </w:p>
        </w:tc>
        <w:tc>
          <w:tcPr>
            <w:tcW w:w="6552" w:type="dxa"/>
            <w:tcMar>
              <w:top w:w="80" w:type="dxa"/>
              <w:left w:w="90" w:type="dxa"/>
              <w:bottom w:w="80" w:type="dxa"/>
              <w:right w:w="90" w:type="dxa"/>
            </w:tcMar>
            <w:vAlign w:val="center"/>
          </w:tcPr>
          <w:p w14:paraId="29788D4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Playwright duplicate-screening and delayed-assessment scenarios</w:t>
            </w:r>
          </w:p>
        </w:tc>
      </w:tr>
      <w:tr w:rsidR="00FE2287" w:rsidRPr="00E4528F" w14:paraId="23A3AEC7" w14:textId="77777777">
        <w:trPr>
          <w:cantSplit/>
          <w:jc w:val="center"/>
        </w:trPr>
        <w:tc>
          <w:tcPr>
            <w:tcW w:w="2088" w:type="dxa"/>
            <w:shd w:val="clear" w:color="auto" w:fill="F3F6F9"/>
            <w:tcMar>
              <w:top w:w="80" w:type="dxa"/>
              <w:left w:w="90" w:type="dxa"/>
              <w:bottom w:w="80" w:type="dxa"/>
              <w:right w:w="90" w:type="dxa"/>
            </w:tcMar>
            <w:vAlign w:val="center"/>
          </w:tcPr>
          <w:p w14:paraId="3AF3EF3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Evaluated source and deployment</w:t>
            </w:r>
          </w:p>
        </w:tc>
        <w:tc>
          <w:tcPr>
            <w:tcW w:w="6552" w:type="dxa"/>
            <w:shd w:val="clear" w:color="auto" w:fill="F3F6F9"/>
            <w:tcMar>
              <w:top w:w="80" w:type="dxa"/>
              <w:left w:w="90" w:type="dxa"/>
              <w:bottom w:w="80" w:type="dxa"/>
              <w:right w:w="90" w:type="dxa"/>
            </w:tcMar>
            <w:vAlign w:val="center"/>
          </w:tcPr>
          <w:p w14:paraId="3B2C0AB6" w14:textId="1396E79C" w:rsidR="00FE2287" w:rsidRPr="00E4528F" w:rsidRDefault="00000000">
            <w:pPr>
              <w:spacing w:after="0" w:line="240" w:lineRule="auto"/>
              <w:rPr>
                <w:rFonts w:cs="Times New Roman"/>
                <w:color w:val="000000" w:themeColor="text1"/>
              </w:rPr>
            </w:pPr>
            <w:r>
              <w:rPr>
                <w:rFonts w:cs="Times New Roman"/>
                <w:color w:val="000000" w:themeColor="text1"/>
                <w:sz w:val="16"/>
              </w:rPr>
              <w:t>Commit 8b26e20df63b1955ce807672da4063ea8fa6ac17; sepolia-public-intake-v1, chain ID 11155111, start block 11,516,697</w:t>
            </w:r>
          </w:p>
        </w:tc>
      </w:tr>
      <w:tr w:rsidR="00FE2287" w:rsidRPr="00E4528F" w14:paraId="0486397B" w14:textId="77777777">
        <w:trPr>
          <w:cantSplit/>
          <w:jc w:val="center"/>
        </w:trPr>
        <w:tc>
          <w:tcPr>
            <w:tcW w:w="2088" w:type="dxa"/>
            <w:tcMar>
              <w:top w:w="80" w:type="dxa"/>
              <w:left w:w="90" w:type="dxa"/>
              <w:bottom w:w="80" w:type="dxa"/>
              <w:right w:w="90" w:type="dxa"/>
            </w:tcMar>
            <w:vAlign w:val="center"/>
          </w:tcPr>
          <w:p w14:paraId="5974C6C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Registry</w:t>
            </w:r>
          </w:p>
        </w:tc>
        <w:tc>
          <w:tcPr>
            <w:tcW w:w="6552" w:type="dxa"/>
            <w:tcMar>
              <w:top w:w="80" w:type="dxa"/>
              <w:left w:w="90" w:type="dxa"/>
              <w:bottom w:w="80" w:type="dxa"/>
              <w:right w:w="90" w:type="dxa"/>
            </w:tcMar>
            <w:vAlign w:val="center"/>
          </w:tcPr>
          <w:p w14:paraId="6FFAD33A"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0xb64BaB321e0Fb19b2295f8182D5A37bAf85F7dff</w:t>
            </w:r>
          </w:p>
        </w:tc>
      </w:tr>
      <w:tr w:rsidR="00FE2287" w:rsidRPr="00E4528F" w14:paraId="1FF0E1A2" w14:textId="77777777">
        <w:trPr>
          <w:cantSplit/>
          <w:jc w:val="center"/>
        </w:trPr>
        <w:tc>
          <w:tcPr>
            <w:tcW w:w="2088" w:type="dxa"/>
            <w:shd w:val="clear" w:color="auto" w:fill="F3F6F9"/>
            <w:tcMar>
              <w:top w:w="80" w:type="dxa"/>
              <w:left w:w="90" w:type="dxa"/>
              <w:bottom w:w="80" w:type="dxa"/>
              <w:right w:w="90" w:type="dxa"/>
            </w:tcMar>
            <w:vAlign w:val="center"/>
          </w:tcPr>
          <w:p w14:paraId="2C57DC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Forwarder</w:t>
            </w:r>
          </w:p>
        </w:tc>
        <w:tc>
          <w:tcPr>
            <w:tcW w:w="6552" w:type="dxa"/>
            <w:shd w:val="clear" w:color="auto" w:fill="F3F6F9"/>
            <w:tcMar>
              <w:top w:w="80" w:type="dxa"/>
              <w:left w:w="90" w:type="dxa"/>
              <w:bottom w:w="80" w:type="dxa"/>
              <w:right w:w="90" w:type="dxa"/>
            </w:tcMar>
            <w:vAlign w:val="center"/>
          </w:tcPr>
          <w:p w14:paraId="41A988C6"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0xeff61937C6a11236D87863e763c13cd7083f0BD0</w:t>
            </w:r>
          </w:p>
        </w:tc>
      </w:tr>
    </w:tbl>
    <w:p w14:paraId="770CC530" w14:textId="77777777" w:rsidR="00FE2287" w:rsidRPr="00E4528F" w:rsidRDefault="00FE2287">
      <w:pPr>
        <w:spacing w:after="0"/>
        <w:rPr>
          <w:rFonts w:cs="Times New Roman"/>
          <w:color w:val="000000" w:themeColor="text1"/>
        </w:rPr>
      </w:pPr>
    </w:p>
    <w:p w14:paraId="3FF5AB43" w14:textId="67A0A5D3" w:rsidR="00FE2287" w:rsidRPr="00E4528F" w:rsidRDefault="00000000">
      <w:pPr>
        <w:rPr>
          <w:rFonts w:cs="Times New Roman"/>
          <w:color w:val="000000" w:themeColor="text1"/>
        </w:rPr>
      </w:pPr>
      <w:r>
        <w:rPr>
          <w:rFonts w:cs="Times New Roman"/>
          <w:color w:val="000000" w:themeColor="text1"/>
        </w:rPr>
        <w:t>Audit on 21 August 2026 found 232 passing non-infrastructure Python tests (eight integration tests deselected</w:t>
      </w:r>
      <w:r w:rsidR="00E611D0">
        <w:rPr>
          <w:rFonts w:cs="Times New Roman"/>
          <w:color w:val="000000" w:themeColor="text1"/>
        </w:rPr>
        <w:t>,</w:t>
      </w:r>
      <w:r>
        <w:rPr>
          <w:rFonts w:cs="Times New Roman"/>
          <w:color w:val="000000" w:themeColor="text1"/>
        </w:rPr>
        <w:t xml:space="preserve"> four dependency warnings), 34 frontend tests, 42 contract tests and two Playwright scenarios: 310 behavioural checks in total. Ruff, frontend lint/build and production contract compilation passed. Branch coverage was 74.71%, below the 75% gate. Dataset and model hashes were verified. Appendix D’s analysis script and JSON were absent from the evaluated commit and should be archived with the final logs.</w:t>
      </w:r>
    </w:p>
    <w:p w14:paraId="4EB807AD" w14:textId="77777777" w:rsidR="00FE2287" w:rsidRPr="00E4528F" w:rsidRDefault="00000000">
      <w:pPr>
        <w:pStyle w:val="Heading1"/>
        <w:pageBreakBefore/>
        <w:rPr>
          <w:rFonts w:ascii="Times New Roman" w:hAnsi="Times New Roman" w:cs="Times New Roman"/>
          <w:color w:val="000000" w:themeColor="text1"/>
        </w:rPr>
      </w:pPr>
      <w:bookmarkStart w:id="78" w:name="bm_app_c"/>
      <w:r w:rsidRPr="00E4528F">
        <w:rPr>
          <w:rFonts w:ascii="Times New Roman" w:hAnsi="Times New Roman" w:cs="Times New Roman"/>
          <w:color w:val="000000" w:themeColor="text1"/>
        </w:rPr>
        <w:lastRenderedPageBreak/>
        <w:t>Appendix C: Operational and Ethical Boundaries</w:t>
      </w:r>
      <w:bookmarkEnd w:id="78"/>
    </w:p>
    <w:p w14:paraId="050B45A1" w14:textId="77777777" w:rsidR="00FE2287" w:rsidRPr="00E4528F" w:rsidRDefault="00000000">
      <w:pPr>
        <w:rPr>
          <w:rFonts w:cs="Times New Roman"/>
          <w:color w:val="000000" w:themeColor="text1"/>
        </w:rPr>
      </w:pPr>
      <w:r w:rsidRPr="00E4528F">
        <w:rPr>
          <w:rFonts w:cs="Times New Roman"/>
          <w:color w:val="000000" w:themeColor="text1"/>
        </w:rPr>
        <w:t>The prototype is an academic research prototype. Table C.1 states its intended and prohibited uses so that the model score and public storage choices are not detached from the limitations established in the dissertation.</w:t>
      </w:r>
    </w:p>
    <w:p w14:paraId="1C7AD36F" w14:textId="77777777" w:rsidR="00FE2287" w:rsidRPr="00E4528F" w:rsidRDefault="00000000" w:rsidP="00C76C0C">
      <w:pPr>
        <w:pStyle w:val="Caption"/>
        <w:rPr>
          <w:rFonts w:cs="Times New Roman"/>
          <w:color w:val="000000" w:themeColor="text1"/>
        </w:rPr>
      </w:pPr>
      <w:bookmarkStart w:id="79" w:name="bm_tab_boundaries"/>
      <w:r w:rsidRPr="00E4528F">
        <w:rPr>
          <w:rFonts w:cs="Times New Roman"/>
          <w:color w:val="000000" w:themeColor="text1"/>
        </w:rPr>
        <w:t>Table C.1. Permitted and prohibited deployment uses</w:t>
      </w:r>
      <w:bookmarkEnd w:id="7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4320"/>
        <w:gridCol w:w="4320"/>
      </w:tblGrid>
      <w:tr w:rsidR="00FE2287" w:rsidRPr="00B26F4A" w14:paraId="2F485CFA" w14:textId="77777777">
        <w:trPr>
          <w:cantSplit/>
          <w:tblHeader/>
          <w:jc w:val="center"/>
        </w:trPr>
        <w:tc>
          <w:tcPr>
            <w:tcW w:w="4320" w:type="dxa"/>
            <w:shd w:val="clear" w:color="auto" w:fill="17365D"/>
            <w:tcMar>
              <w:top w:w="80" w:type="dxa"/>
              <w:left w:w="90" w:type="dxa"/>
              <w:bottom w:w="80" w:type="dxa"/>
              <w:right w:w="90" w:type="dxa"/>
            </w:tcMar>
            <w:vAlign w:val="center"/>
          </w:tcPr>
          <w:p w14:paraId="2F0E07AA"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7"/>
              </w:rPr>
              <w:t>Permitted research use</w:t>
            </w:r>
          </w:p>
        </w:tc>
        <w:tc>
          <w:tcPr>
            <w:tcW w:w="4320" w:type="dxa"/>
            <w:shd w:val="clear" w:color="auto" w:fill="17365D"/>
            <w:tcMar>
              <w:top w:w="80" w:type="dxa"/>
              <w:left w:w="90" w:type="dxa"/>
              <w:bottom w:w="80" w:type="dxa"/>
              <w:right w:w="90" w:type="dxa"/>
            </w:tcMar>
            <w:vAlign w:val="center"/>
          </w:tcPr>
          <w:p w14:paraId="4848E364"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7"/>
              </w:rPr>
              <w:t>Prohibited use without further work</w:t>
            </w:r>
          </w:p>
        </w:tc>
      </w:tr>
      <w:tr w:rsidR="00FE2287" w:rsidRPr="00E4528F" w14:paraId="1537703A" w14:textId="77777777">
        <w:trPr>
          <w:cantSplit/>
          <w:jc w:val="center"/>
        </w:trPr>
        <w:tc>
          <w:tcPr>
            <w:tcW w:w="4320" w:type="dxa"/>
            <w:tcMar>
              <w:top w:w="80" w:type="dxa"/>
              <w:left w:w="90" w:type="dxa"/>
              <w:bottom w:w="80" w:type="dxa"/>
              <w:right w:w="90" w:type="dxa"/>
            </w:tcMar>
            <w:vAlign w:val="center"/>
          </w:tcPr>
          <w:p w14:paraId="0623C102"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Fictional policy-backed claim demonstrations using eligible claimant or representative wallets.</w:t>
            </w:r>
          </w:p>
        </w:tc>
        <w:tc>
          <w:tcPr>
            <w:tcW w:w="4320" w:type="dxa"/>
            <w:tcMar>
              <w:top w:w="80" w:type="dxa"/>
              <w:left w:w="90" w:type="dxa"/>
              <w:bottom w:w="80" w:type="dxa"/>
              <w:right w:w="90" w:type="dxa"/>
            </w:tcMar>
            <w:vAlign w:val="center"/>
          </w:tcPr>
          <w:p w14:paraId="24B0299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Uploading real, unencrypted personal or evidential data to public IPFS.</w:t>
            </w:r>
          </w:p>
        </w:tc>
      </w:tr>
      <w:tr w:rsidR="00FE2287" w:rsidRPr="00E4528F" w14:paraId="5606E209" w14:textId="77777777">
        <w:trPr>
          <w:cantSplit/>
          <w:jc w:val="center"/>
        </w:trPr>
        <w:tc>
          <w:tcPr>
            <w:tcW w:w="4320" w:type="dxa"/>
            <w:shd w:val="clear" w:color="auto" w:fill="F3F6F9"/>
            <w:tcMar>
              <w:top w:w="80" w:type="dxa"/>
              <w:left w:w="90" w:type="dxa"/>
              <w:bottom w:w="80" w:type="dxa"/>
              <w:right w:w="90" w:type="dxa"/>
            </w:tcMar>
            <w:vAlign w:val="center"/>
          </w:tcPr>
          <w:p w14:paraId="0AD91EAA"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Testing wallet sessions, permits, contract roles, event delivery, replay behaviour and model integration.</w:t>
            </w:r>
          </w:p>
        </w:tc>
        <w:tc>
          <w:tcPr>
            <w:tcW w:w="4320" w:type="dxa"/>
            <w:shd w:val="clear" w:color="auto" w:fill="F3F6F9"/>
            <w:tcMar>
              <w:top w:w="80" w:type="dxa"/>
              <w:left w:w="90" w:type="dxa"/>
              <w:bottom w:w="80" w:type="dxa"/>
              <w:right w:w="90" w:type="dxa"/>
            </w:tcMar>
            <w:vAlign w:val="center"/>
          </w:tcPr>
          <w:p w14:paraId="467A1F1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Treating the risk score or duplicate candidate as proof of fraud.</w:t>
            </w:r>
          </w:p>
        </w:tc>
      </w:tr>
      <w:tr w:rsidR="00FE2287" w:rsidRPr="00E4528F" w14:paraId="048012FD" w14:textId="77777777">
        <w:trPr>
          <w:cantSplit/>
          <w:jc w:val="center"/>
        </w:trPr>
        <w:tc>
          <w:tcPr>
            <w:tcW w:w="4320" w:type="dxa"/>
            <w:tcMar>
              <w:top w:w="80" w:type="dxa"/>
              <w:left w:w="90" w:type="dxa"/>
              <w:bottom w:w="80" w:type="dxa"/>
              <w:right w:w="90" w:type="dxa"/>
            </w:tcMar>
            <w:vAlign w:val="center"/>
          </w:tcPr>
          <w:p w14:paraId="611A4DB5"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Comparing thresholds, explanations and append-only human investigative outcomes.</w:t>
            </w:r>
          </w:p>
        </w:tc>
        <w:tc>
          <w:tcPr>
            <w:tcW w:w="4320" w:type="dxa"/>
            <w:tcMar>
              <w:top w:w="80" w:type="dxa"/>
              <w:left w:w="90" w:type="dxa"/>
              <w:bottom w:w="80" w:type="dxa"/>
              <w:right w:w="90" w:type="dxa"/>
            </w:tcMar>
            <w:vAlign w:val="center"/>
          </w:tcPr>
          <w:p w14:paraId="4923FBC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Automatically rejecting, delaying or publicly labelling a claimant.</w:t>
            </w:r>
          </w:p>
        </w:tc>
      </w:tr>
      <w:tr w:rsidR="00FE2287" w:rsidRPr="00E4528F" w14:paraId="5B8FFF2D" w14:textId="77777777">
        <w:trPr>
          <w:cantSplit/>
          <w:jc w:val="center"/>
        </w:trPr>
        <w:tc>
          <w:tcPr>
            <w:tcW w:w="4320" w:type="dxa"/>
            <w:shd w:val="clear" w:color="auto" w:fill="F3F6F9"/>
            <w:tcMar>
              <w:top w:w="80" w:type="dxa"/>
              <w:left w:w="90" w:type="dxa"/>
              <w:bottom w:w="80" w:type="dxa"/>
              <w:right w:w="90" w:type="dxa"/>
            </w:tcMar>
            <w:vAlign w:val="center"/>
          </w:tcPr>
          <w:p w14:paraId="40651EC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Measuring a declared test workload in an isolated environment.</w:t>
            </w:r>
          </w:p>
        </w:tc>
        <w:tc>
          <w:tcPr>
            <w:tcW w:w="4320" w:type="dxa"/>
            <w:shd w:val="clear" w:color="auto" w:fill="F3F6F9"/>
            <w:tcMar>
              <w:top w:w="80" w:type="dxa"/>
              <w:left w:w="90" w:type="dxa"/>
              <w:bottom w:w="80" w:type="dxa"/>
              <w:right w:w="90" w:type="dxa"/>
            </w:tcMar>
            <w:vAlign w:val="center"/>
          </w:tcPr>
          <w:p w14:paraId="025A41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Claiming production throughput, latency, resilience or cost from the current evidence.</w:t>
            </w:r>
          </w:p>
        </w:tc>
      </w:tr>
      <w:tr w:rsidR="00FE2287" w:rsidRPr="00E4528F" w14:paraId="29BA89B7" w14:textId="77777777">
        <w:trPr>
          <w:cantSplit/>
          <w:jc w:val="center"/>
        </w:trPr>
        <w:tc>
          <w:tcPr>
            <w:tcW w:w="4320" w:type="dxa"/>
            <w:tcMar>
              <w:top w:w="80" w:type="dxa"/>
              <w:left w:w="90" w:type="dxa"/>
              <w:bottom w:w="80" w:type="dxa"/>
              <w:right w:w="90" w:type="dxa"/>
            </w:tcMar>
            <w:vAlign w:val="center"/>
          </w:tcPr>
          <w:p w14:paraId="3E3D513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Extending the artifact under secure development and independent review.</w:t>
            </w:r>
          </w:p>
        </w:tc>
        <w:tc>
          <w:tcPr>
            <w:tcW w:w="4320" w:type="dxa"/>
            <w:tcMar>
              <w:top w:w="80" w:type="dxa"/>
              <w:left w:w="90" w:type="dxa"/>
              <w:bottom w:w="80" w:type="dxa"/>
              <w:right w:w="90" w:type="dxa"/>
            </w:tcMar>
            <w:vAlign w:val="center"/>
          </w:tcPr>
          <w:p w14:paraId="5161A3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Mainnet or live-insurer deployment without legal assessment, external audit and key governance.</w:t>
            </w:r>
          </w:p>
        </w:tc>
      </w:tr>
    </w:tbl>
    <w:p w14:paraId="7441FB95" w14:textId="77777777" w:rsidR="00FE2287" w:rsidRPr="00E4528F" w:rsidRDefault="00FE2287">
      <w:pPr>
        <w:spacing w:after="0"/>
        <w:rPr>
          <w:rFonts w:cs="Times New Roman"/>
          <w:color w:val="000000" w:themeColor="text1"/>
        </w:rPr>
      </w:pPr>
    </w:p>
    <w:p w14:paraId="225D759F" w14:textId="77777777" w:rsidR="00FE2287" w:rsidRPr="00E4528F" w:rsidRDefault="00000000">
      <w:pPr>
        <w:rPr>
          <w:rFonts w:cs="Times New Roman"/>
          <w:color w:val="000000" w:themeColor="text1"/>
        </w:rPr>
      </w:pPr>
      <w:r w:rsidRPr="00E4528F">
        <w:rPr>
          <w:rFonts w:cs="Times New Roman"/>
          <w:color w:val="000000" w:themeColor="text1"/>
        </w:rPr>
        <w:t>Before operational deployment, the project would require real-data validation, a data-protection impact assessment, documented lawful basis and retention, encryption and controlled evidence storage, independent security and contract review, resilient infrastructure, managed identity and keys, fairness and calibration analysis, monitored human review, and an appeal or correction process. These requirements are part of the system design, not administrative work that can be deferred after launch.</w:t>
      </w:r>
    </w:p>
    <w:p w14:paraId="76761D37" w14:textId="77777777" w:rsidR="00FE2287" w:rsidRPr="00E4528F" w:rsidRDefault="00000000">
      <w:pPr>
        <w:pStyle w:val="Heading1"/>
        <w:pageBreakBefore/>
        <w:rPr>
          <w:rFonts w:ascii="Times New Roman" w:hAnsi="Times New Roman" w:cs="Times New Roman"/>
          <w:color w:val="000000" w:themeColor="text1"/>
        </w:rPr>
      </w:pPr>
      <w:bookmarkStart w:id="80" w:name="bm_app_d"/>
      <w:r w:rsidRPr="00E4528F">
        <w:rPr>
          <w:rFonts w:ascii="Times New Roman" w:hAnsi="Times New Roman" w:cs="Times New Roman"/>
          <w:color w:val="000000" w:themeColor="text1"/>
        </w:rPr>
        <w:lastRenderedPageBreak/>
        <w:t>Appendix D: Advanced Model Audit</w:t>
      </w:r>
      <w:bookmarkEnd w:id="80"/>
    </w:p>
    <w:p w14:paraId="2C4BB99F" w14:textId="77777777" w:rsidR="00FE2287" w:rsidRPr="00E4528F" w:rsidRDefault="00000000">
      <w:pPr>
        <w:rPr>
          <w:rFonts w:cs="Times New Roman"/>
          <w:color w:val="000000" w:themeColor="text1"/>
        </w:rPr>
      </w:pPr>
      <w:r w:rsidRPr="00E4528F">
        <w:rPr>
          <w:rFonts w:cs="Times New Roman"/>
          <w:color w:val="000000" w:themeColor="text1"/>
        </w:rPr>
        <w:t>This appendix retains the reported advanced analysis and country audit. Country-level behaviour on synthetic records is not an estimate of fraud risk. The cited script and JSON were absent from the audited commit, so the results are not repository-reproducible.</w:t>
      </w:r>
    </w:p>
    <w:p w14:paraId="701CDF27" w14:textId="77777777" w:rsidR="00FE2287" w:rsidRPr="00E4528F" w:rsidRDefault="00000000" w:rsidP="00C76C0C">
      <w:pPr>
        <w:pStyle w:val="Caption"/>
        <w:rPr>
          <w:rFonts w:cs="Times New Roman"/>
          <w:color w:val="000000" w:themeColor="text1"/>
        </w:rPr>
      </w:pPr>
      <w:bookmarkStart w:id="81" w:name="bm_tab_country_full"/>
      <w:r w:rsidRPr="00E4528F">
        <w:rPr>
          <w:rFonts w:cs="Times New Roman"/>
          <w:color w:val="000000" w:themeColor="text1"/>
        </w:rPr>
        <w:t>Table D.1. Full country-level audit</w:t>
      </w:r>
      <w:bookmarkEnd w:id="81"/>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727"/>
        <w:gridCol w:w="792"/>
        <w:gridCol w:w="1037"/>
        <w:gridCol w:w="1037"/>
        <w:gridCol w:w="893"/>
        <w:gridCol w:w="893"/>
        <w:gridCol w:w="1037"/>
        <w:gridCol w:w="1123"/>
      </w:tblGrid>
      <w:tr w:rsidR="00FE2287" w:rsidRPr="00B26F4A" w14:paraId="2207633E" w14:textId="77777777" w:rsidTr="00C76C0C">
        <w:trPr>
          <w:cantSplit/>
          <w:tblHeader/>
          <w:jc w:val="center"/>
        </w:trPr>
        <w:tc>
          <w:tcPr>
            <w:tcW w:w="1727" w:type="dxa"/>
            <w:shd w:val="clear" w:color="auto" w:fill="17365D"/>
            <w:tcMar>
              <w:top w:w="80" w:type="dxa"/>
              <w:left w:w="90" w:type="dxa"/>
              <w:bottom w:w="80" w:type="dxa"/>
              <w:right w:w="90" w:type="dxa"/>
            </w:tcMar>
            <w:vAlign w:val="center"/>
          </w:tcPr>
          <w:p w14:paraId="1EA9C592"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Country</w:t>
            </w:r>
          </w:p>
        </w:tc>
        <w:tc>
          <w:tcPr>
            <w:tcW w:w="792" w:type="dxa"/>
            <w:shd w:val="clear" w:color="auto" w:fill="17365D"/>
            <w:tcMar>
              <w:top w:w="80" w:type="dxa"/>
              <w:left w:w="90" w:type="dxa"/>
              <w:bottom w:w="80" w:type="dxa"/>
              <w:right w:w="90" w:type="dxa"/>
            </w:tcMar>
            <w:vAlign w:val="center"/>
          </w:tcPr>
          <w:p w14:paraId="720D22D1"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n</w:t>
            </w:r>
          </w:p>
        </w:tc>
        <w:tc>
          <w:tcPr>
            <w:tcW w:w="1037" w:type="dxa"/>
            <w:shd w:val="clear" w:color="auto" w:fill="17365D"/>
            <w:tcMar>
              <w:top w:w="80" w:type="dxa"/>
              <w:left w:w="90" w:type="dxa"/>
              <w:bottom w:w="80" w:type="dxa"/>
              <w:right w:w="90" w:type="dxa"/>
            </w:tcMar>
            <w:vAlign w:val="center"/>
          </w:tcPr>
          <w:p w14:paraId="7CFD8F47"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Prevalence</w:t>
            </w:r>
          </w:p>
        </w:tc>
        <w:tc>
          <w:tcPr>
            <w:tcW w:w="1037" w:type="dxa"/>
            <w:shd w:val="clear" w:color="auto" w:fill="17365D"/>
            <w:tcMar>
              <w:top w:w="80" w:type="dxa"/>
              <w:left w:w="90" w:type="dxa"/>
              <w:bottom w:w="80" w:type="dxa"/>
              <w:right w:w="90" w:type="dxa"/>
            </w:tcMar>
            <w:vAlign w:val="center"/>
          </w:tcPr>
          <w:p w14:paraId="266E9174"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Selection</w:t>
            </w:r>
          </w:p>
        </w:tc>
        <w:tc>
          <w:tcPr>
            <w:tcW w:w="893" w:type="dxa"/>
            <w:shd w:val="clear" w:color="auto" w:fill="17365D"/>
            <w:tcMar>
              <w:top w:w="80" w:type="dxa"/>
              <w:left w:w="90" w:type="dxa"/>
              <w:bottom w:w="80" w:type="dxa"/>
              <w:right w:w="90" w:type="dxa"/>
            </w:tcMar>
            <w:vAlign w:val="center"/>
          </w:tcPr>
          <w:p w14:paraId="7ACECFF3"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FPR</w:t>
            </w:r>
          </w:p>
        </w:tc>
        <w:tc>
          <w:tcPr>
            <w:tcW w:w="893" w:type="dxa"/>
            <w:shd w:val="clear" w:color="auto" w:fill="17365D"/>
            <w:tcMar>
              <w:top w:w="80" w:type="dxa"/>
              <w:left w:w="90" w:type="dxa"/>
              <w:bottom w:w="80" w:type="dxa"/>
              <w:right w:w="90" w:type="dxa"/>
            </w:tcMar>
            <w:vAlign w:val="center"/>
          </w:tcPr>
          <w:p w14:paraId="6B0CA20C"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FNR</w:t>
            </w:r>
          </w:p>
        </w:tc>
        <w:tc>
          <w:tcPr>
            <w:tcW w:w="1037" w:type="dxa"/>
            <w:shd w:val="clear" w:color="auto" w:fill="17365D"/>
            <w:tcMar>
              <w:top w:w="80" w:type="dxa"/>
              <w:left w:w="90" w:type="dxa"/>
              <w:bottom w:w="80" w:type="dxa"/>
              <w:right w:w="90" w:type="dxa"/>
            </w:tcMar>
            <w:vAlign w:val="center"/>
          </w:tcPr>
          <w:p w14:paraId="5EB1A177"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Precision</w:t>
            </w:r>
          </w:p>
        </w:tc>
        <w:tc>
          <w:tcPr>
            <w:tcW w:w="1123" w:type="dxa"/>
            <w:shd w:val="clear" w:color="auto" w:fill="17365D"/>
            <w:tcMar>
              <w:top w:w="80" w:type="dxa"/>
              <w:left w:w="90" w:type="dxa"/>
              <w:bottom w:w="80" w:type="dxa"/>
              <w:right w:w="90" w:type="dxa"/>
            </w:tcMar>
            <w:vAlign w:val="center"/>
          </w:tcPr>
          <w:p w14:paraId="5F8C3CDA"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Brier</w:t>
            </w:r>
          </w:p>
        </w:tc>
      </w:tr>
      <w:tr w:rsidR="00FE2287" w:rsidRPr="00E4528F" w14:paraId="70945598" w14:textId="77777777" w:rsidTr="00C76C0C">
        <w:trPr>
          <w:cantSplit/>
          <w:jc w:val="center"/>
        </w:trPr>
        <w:tc>
          <w:tcPr>
            <w:tcW w:w="1727" w:type="dxa"/>
            <w:tcMar>
              <w:top w:w="80" w:type="dxa"/>
              <w:left w:w="90" w:type="dxa"/>
              <w:bottom w:w="80" w:type="dxa"/>
              <w:right w:w="90" w:type="dxa"/>
            </w:tcMar>
            <w:vAlign w:val="center"/>
          </w:tcPr>
          <w:p w14:paraId="1077188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Nigeria</w:t>
            </w:r>
          </w:p>
        </w:tc>
        <w:tc>
          <w:tcPr>
            <w:tcW w:w="792" w:type="dxa"/>
            <w:tcMar>
              <w:top w:w="80" w:type="dxa"/>
              <w:left w:w="90" w:type="dxa"/>
              <w:bottom w:w="80" w:type="dxa"/>
              <w:right w:w="90" w:type="dxa"/>
            </w:tcMar>
            <w:vAlign w:val="center"/>
          </w:tcPr>
          <w:p w14:paraId="43F455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1,487</w:t>
            </w:r>
          </w:p>
        </w:tc>
        <w:tc>
          <w:tcPr>
            <w:tcW w:w="1037" w:type="dxa"/>
            <w:tcMar>
              <w:top w:w="80" w:type="dxa"/>
              <w:left w:w="90" w:type="dxa"/>
              <w:bottom w:w="80" w:type="dxa"/>
              <w:right w:w="90" w:type="dxa"/>
            </w:tcMar>
            <w:vAlign w:val="center"/>
          </w:tcPr>
          <w:p w14:paraId="0F7BFA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.1547</w:t>
            </w:r>
          </w:p>
        </w:tc>
        <w:tc>
          <w:tcPr>
            <w:tcW w:w="1037" w:type="dxa"/>
            <w:tcMar>
              <w:top w:w="80" w:type="dxa"/>
              <w:left w:w="90" w:type="dxa"/>
              <w:bottom w:w="80" w:type="dxa"/>
              <w:right w:w="90" w:type="dxa"/>
            </w:tcMar>
            <w:vAlign w:val="center"/>
          </w:tcPr>
          <w:p w14:paraId="223484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.8971</w:t>
            </w:r>
          </w:p>
        </w:tc>
        <w:tc>
          <w:tcPr>
            <w:tcW w:w="893" w:type="dxa"/>
            <w:tcMar>
              <w:top w:w="80" w:type="dxa"/>
              <w:left w:w="90" w:type="dxa"/>
              <w:bottom w:w="80" w:type="dxa"/>
              <w:right w:w="90" w:type="dxa"/>
            </w:tcMar>
            <w:vAlign w:val="center"/>
          </w:tcPr>
          <w:p w14:paraId="53D418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.8934</w:t>
            </w:r>
          </w:p>
        </w:tc>
        <w:tc>
          <w:tcPr>
            <w:tcW w:w="893" w:type="dxa"/>
            <w:tcMar>
              <w:top w:w="80" w:type="dxa"/>
              <w:left w:w="90" w:type="dxa"/>
              <w:bottom w:w="80" w:type="dxa"/>
              <w:right w:w="90" w:type="dxa"/>
            </w:tcMar>
            <w:vAlign w:val="center"/>
          </w:tcPr>
          <w:p w14:paraId="0AC0A7A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.0826</w:t>
            </w:r>
          </w:p>
        </w:tc>
        <w:tc>
          <w:tcPr>
            <w:tcW w:w="1037" w:type="dxa"/>
            <w:tcMar>
              <w:top w:w="80" w:type="dxa"/>
              <w:left w:w="90" w:type="dxa"/>
              <w:bottom w:w="80" w:type="dxa"/>
              <w:right w:w="90" w:type="dxa"/>
            </w:tcMar>
            <w:vAlign w:val="center"/>
          </w:tcPr>
          <w:p w14:paraId="1BECBE7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.1582</w:t>
            </w:r>
          </w:p>
        </w:tc>
        <w:tc>
          <w:tcPr>
            <w:tcW w:w="1123" w:type="dxa"/>
            <w:tcMar>
              <w:top w:w="80" w:type="dxa"/>
              <w:left w:w="90" w:type="dxa"/>
              <w:bottom w:w="80" w:type="dxa"/>
              <w:right w:w="90" w:type="dxa"/>
            </w:tcMar>
            <w:vAlign w:val="center"/>
          </w:tcPr>
          <w:p w14:paraId="645373F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.3084</w:t>
            </w:r>
          </w:p>
        </w:tc>
      </w:tr>
      <w:tr w:rsidR="00FE2287" w:rsidRPr="00E4528F" w14:paraId="473B82E2" w14:textId="77777777" w:rsidTr="00C76C0C">
        <w:trPr>
          <w:cantSplit/>
          <w:jc w:val="center"/>
        </w:trPr>
        <w:tc>
          <w:tcPr>
            <w:tcW w:w="1727" w:type="dxa"/>
            <w:shd w:val="clear" w:color="auto" w:fill="F3F6F9"/>
            <w:tcMar>
              <w:top w:w="80" w:type="dxa"/>
              <w:left w:w="90" w:type="dxa"/>
              <w:bottom w:w="80" w:type="dxa"/>
              <w:right w:w="90" w:type="dxa"/>
            </w:tcMar>
            <w:vAlign w:val="center"/>
          </w:tcPr>
          <w:p w14:paraId="05A48F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South Africa</w:t>
            </w:r>
          </w:p>
        </w:tc>
        <w:tc>
          <w:tcPr>
            <w:tcW w:w="792" w:type="dxa"/>
            <w:shd w:val="clear" w:color="auto" w:fill="F3F6F9"/>
            <w:tcMar>
              <w:top w:w="80" w:type="dxa"/>
              <w:left w:w="90" w:type="dxa"/>
              <w:bottom w:w="80" w:type="dxa"/>
              <w:right w:w="90" w:type="dxa"/>
            </w:tcMar>
            <w:vAlign w:val="center"/>
          </w:tcPr>
          <w:p w14:paraId="150F94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1,659</w:t>
            </w:r>
          </w:p>
        </w:tc>
        <w:tc>
          <w:tcPr>
            <w:tcW w:w="1037" w:type="dxa"/>
            <w:shd w:val="clear" w:color="auto" w:fill="F3F6F9"/>
            <w:tcMar>
              <w:top w:w="80" w:type="dxa"/>
              <w:left w:w="90" w:type="dxa"/>
              <w:bottom w:w="80" w:type="dxa"/>
              <w:right w:w="90" w:type="dxa"/>
            </w:tcMar>
            <w:vAlign w:val="center"/>
          </w:tcPr>
          <w:p w14:paraId="11CA4CB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.1272</w:t>
            </w:r>
          </w:p>
        </w:tc>
        <w:tc>
          <w:tcPr>
            <w:tcW w:w="1037" w:type="dxa"/>
            <w:shd w:val="clear" w:color="auto" w:fill="F3F6F9"/>
            <w:tcMar>
              <w:top w:w="80" w:type="dxa"/>
              <w:left w:w="90" w:type="dxa"/>
              <w:bottom w:w="80" w:type="dxa"/>
              <w:right w:w="90" w:type="dxa"/>
            </w:tcMar>
            <w:vAlign w:val="center"/>
          </w:tcPr>
          <w:p w14:paraId="18EEB0F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.5986</w:t>
            </w:r>
          </w:p>
        </w:tc>
        <w:tc>
          <w:tcPr>
            <w:tcW w:w="893" w:type="dxa"/>
            <w:shd w:val="clear" w:color="auto" w:fill="F3F6F9"/>
            <w:tcMar>
              <w:top w:w="80" w:type="dxa"/>
              <w:left w:w="90" w:type="dxa"/>
              <w:bottom w:w="80" w:type="dxa"/>
              <w:right w:w="90" w:type="dxa"/>
            </w:tcMar>
            <w:vAlign w:val="center"/>
          </w:tcPr>
          <w:p w14:paraId="180810C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.5698</w:t>
            </w:r>
          </w:p>
        </w:tc>
        <w:tc>
          <w:tcPr>
            <w:tcW w:w="893" w:type="dxa"/>
            <w:shd w:val="clear" w:color="auto" w:fill="F3F6F9"/>
            <w:tcMar>
              <w:top w:w="80" w:type="dxa"/>
              <w:left w:w="90" w:type="dxa"/>
              <w:bottom w:w="80" w:type="dxa"/>
              <w:right w:w="90" w:type="dxa"/>
            </w:tcMar>
            <w:vAlign w:val="center"/>
          </w:tcPr>
          <w:p w14:paraId="087897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.2038</w:t>
            </w:r>
          </w:p>
        </w:tc>
        <w:tc>
          <w:tcPr>
            <w:tcW w:w="1037" w:type="dxa"/>
            <w:shd w:val="clear" w:color="auto" w:fill="F3F6F9"/>
            <w:tcMar>
              <w:top w:w="80" w:type="dxa"/>
              <w:left w:w="90" w:type="dxa"/>
              <w:bottom w:w="80" w:type="dxa"/>
              <w:right w:w="90" w:type="dxa"/>
            </w:tcMar>
            <w:vAlign w:val="center"/>
          </w:tcPr>
          <w:p w14:paraId="1560C6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.1692</w:t>
            </w:r>
          </w:p>
        </w:tc>
        <w:tc>
          <w:tcPr>
            <w:tcW w:w="1123" w:type="dxa"/>
            <w:shd w:val="clear" w:color="auto" w:fill="F3F6F9"/>
            <w:tcMar>
              <w:top w:w="80" w:type="dxa"/>
              <w:left w:w="90" w:type="dxa"/>
              <w:bottom w:w="80" w:type="dxa"/>
              <w:right w:w="90" w:type="dxa"/>
            </w:tcMar>
            <w:vAlign w:val="center"/>
          </w:tcPr>
          <w:p w14:paraId="3CA955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.2462</w:t>
            </w:r>
          </w:p>
        </w:tc>
      </w:tr>
      <w:tr w:rsidR="00FE2287" w:rsidRPr="00E4528F" w14:paraId="0B130C5C" w14:textId="77777777" w:rsidTr="00C76C0C">
        <w:trPr>
          <w:cantSplit/>
          <w:jc w:val="center"/>
        </w:trPr>
        <w:tc>
          <w:tcPr>
            <w:tcW w:w="1727" w:type="dxa"/>
            <w:tcMar>
              <w:top w:w="80" w:type="dxa"/>
              <w:left w:w="90" w:type="dxa"/>
              <w:bottom w:w="80" w:type="dxa"/>
              <w:right w:w="90" w:type="dxa"/>
            </w:tcMar>
            <w:vAlign w:val="center"/>
          </w:tcPr>
          <w:p w14:paraId="5118EC3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Kenya</w:t>
            </w:r>
          </w:p>
        </w:tc>
        <w:tc>
          <w:tcPr>
            <w:tcW w:w="792" w:type="dxa"/>
            <w:tcMar>
              <w:top w:w="80" w:type="dxa"/>
              <w:left w:w="90" w:type="dxa"/>
              <w:bottom w:w="80" w:type="dxa"/>
              <w:right w:w="90" w:type="dxa"/>
            </w:tcMar>
            <w:vAlign w:val="center"/>
          </w:tcPr>
          <w:p w14:paraId="442C06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1,568</w:t>
            </w:r>
          </w:p>
        </w:tc>
        <w:tc>
          <w:tcPr>
            <w:tcW w:w="1037" w:type="dxa"/>
            <w:tcMar>
              <w:top w:w="80" w:type="dxa"/>
              <w:left w:w="90" w:type="dxa"/>
              <w:bottom w:w="80" w:type="dxa"/>
              <w:right w:w="90" w:type="dxa"/>
            </w:tcMar>
            <w:vAlign w:val="center"/>
          </w:tcPr>
          <w:p w14:paraId="67F1006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.1237</w:t>
            </w:r>
          </w:p>
        </w:tc>
        <w:tc>
          <w:tcPr>
            <w:tcW w:w="1037" w:type="dxa"/>
            <w:tcMar>
              <w:top w:w="80" w:type="dxa"/>
              <w:left w:w="90" w:type="dxa"/>
              <w:bottom w:w="80" w:type="dxa"/>
              <w:right w:w="90" w:type="dxa"/>
            </w:tcMar>
            <w:vAlign w:val="center"/>
          </w:tcPr>
          <w:p w14:paraId="23A96D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.5784</w:t>
            </w:r>
          </w:p>
        </w:tc>
        <w:tc>
          <w:tcPr>
            <w:tcW w:w="893" w:type="dxa"/>
            <w:tcMar>
              <w:top w:w="80" w:type="dxa"/>
              <w:left w:w="90" w:type="dxa"/>
              <w:bottom w:w="80" w:type="dxa"/>
              <w:right w:w="90" w:type="dxa"/>
            </w:tcMar>
            <w:vAlign w:val="center"/>
          </w:tcPr>
          <w:p w14:paraId="35E9DB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.5546</w:t>
            </w:r>
          </w:p>
        </w:tc>
        <w:tc>
          <w:tcPr>
            <w:tcW w:w="893" w:type="dxa"/>
            <w:tcMar>
              <w:top w:w="80" w:type="dxa"/>
              <w:left w:w="90" w:type="dxa"/>
              <w:bottom w:w="80" w:type="dxa"/>
              <w:right w:w="90" w:type="dxa"/>
            </w:tcMar>
            <w:vAlign w:val="center"/>
          </w:tcPr>
          <w:p w14:paraId="679310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.2526</w:t>
            </w:r>
          </w:p>
        </w:tc>
        <w:tc>
          <w:tcPr>
            <w:tcW w:w="1037" w:type="dxa"/>
            <w:tcMar>
              <w:top w:w="80" w:type="dxa"/>
              <w:left w:w="90" w:type="dxa"/>
              <w:bottom w:w="80" w:type="dxa"/>
              <w:right w:w="90" w:type="dxa"/>
            </w:tcMar>
            <w:vAlign w:val="center"/>
          </w:tcPr>
          <w:p w14:paraId="0FE26D0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.1599</w:t>
            </w:r>
          </w:p>
        </w:tc>
        <w:tc>
          <w:tcPr>
            <w:tcW w:w="1123" w:type="dxa"/>
            <w:tcMar>
              <w:top w:w="80" w:type="dxa"/>
              <w:left w:w="90" w:type="dxa"/>
              <w:bottom w:w="80" w:type="dxa"/>
              <w:right w:w="90" w:type="dxa"/>
            </w:tcMar>
            <w:vAlign w:val="center"/>
          </w:tcPr>
          <w:p w14:paraId="7C7E0F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.2403</w:t>
            </w:r>
          </w:p>
        </w:tc>
      </w:tr>
      <w:tr w:rsidR="00FE2287" w:rsidRPr="00E4528F" w14:paraId="6014F69A" w14:textId="77777777" w:rsidTr="00C76C0C">
        <w:trPr>
          <w:cantSplit/>
          <w:jc w:val="center"/>
        </w:trPr>
        <w:tc>
          <w:tcPr>
            <w:tcW w:w="1727" w:type="dxa"/>
            <w:shd w:val="clear" w:color="auto" w:fill="F3F6F9"/>
            <w:tcMar>
              <w:top w:w="80" w:type="dxa"/>
              <w:left w:w="90" w:type="dxa"/>
              <w:bottom w:w="80" w:type="dxa"/>
              <w:right w:w="90" w:type="dxa"/>
            </w:tcMar>
            <w:vAlign w:val="center"/>
          </w:tcPr>
          <w:p w14:paraId="74CDDB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Cote d'Ivoire</w:t>
            </w:r>
          </w:p>
        </w:tc>
        <w:tc>
          <w:tcPr>
            <w:tcW w:w="792" w:type="dxa"/>
            <w:shd w:val="clear" w:color="auto" w:fill="F3F6F9"/>
            <w:tcMar>
              <w:top w:w="80" w:type="dxa"/>
              <w:left w:w="90" w:type="dxa"/>
              <w:bottom w:w="80" w:type="dxa"/>
              <w:right w:w="90" w:type="dxa"/>
            </w:tcMar>
            <w:vAlign w:val="center"/>
          </w:tcPr>
          <w:p w14:paraId="1862BD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1,300</w:t>
            </w:r>
          </w:p>
        </w:tc>
        <w:tc>
          <w:tcPr>
            <w:tcW w:w="1037" w:type="dxa"/>
            <w:shd w:val="clear" w:color="auto" w:fill="F3F6F9"/>
            <w:tcMar>
              <w:top w:w="80" w:type="dxa"/>
              <w:left w:w="90" w:type="dxa"/>
              <w:bottom w:w="80" w:type="dxa"/>
              <w:right w:w="90" w:type="dxa"/>
            </w:tcMar>
            <w:vAlign w:val="center"/>
          </w:tcPr>
          <w:p w14:paraId="1EFCE3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.1331</w:t>
            </w:r>
          </w:p>
        </w:tc>
        <w:tc>
          <w:tcPr>
            <w:tcW w:w="1037" w:type="dxa"/>
            <w:shd w:val="clear" w:color="auto" w:fill="F3F6F9"/>
            <w:tcMar>
              <w:top w:w="80" w:type="dxa"/>
              <w:left w:w="90" w:type="dxa"/>
              <w:bottom w:w="80" w:type="dxa"/>
              <w:right w:w="90" w:type="dxa"/>
            </w:tcMar>
            <w:vAlign w:val="center"/>
          </w:tcPr>
          <w:p w14:paraId="66C22E9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.5254</w:t>
            </w:r>
          </w:p>
        </w:tc>
        <w:tc>
          <w:tcPr>
            <w:tcW w:w="893" w:type="dxa"/>
            <w:shd w:val="clear" w:color="auto" w:fill="F3F6F9"/>
            <w:tcMar>
              <w:top w:w="80" w:type="dxa"/>
              <w:left w:w="90" w:type="dxa"/>
              <w:bottom w:w="80" w:type="dxa"/>
              <w:right w:w="90" w:type="dxa"/>
            </w:tcMar>
            <w:vAlign w:val="center"/>
          </w:tcPr>
          <w:p w14:paraId="4281D8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.5058</w:t>
            </w:r>
          </w:p>
        </w:tc>
        <w:tc>
          <w:tcPr>
            <w:tcW w:w="893" w:type="dxa"/>
            <w:shd w:val="clear" w:color="auto" w:fill="F3F6F9"/>
            <w:tcMar>
              <w:top w:w="80" w:type="dxa"/>
              <w:left w:w="90" w:type="dxa"/>
              <w:bottom w:w="80" w:type="dxa"/>
              <w:right w:w="90" w:type="dxa"/>
            </w:tcMar>
            <w:vAlign w:val="center"/>
          </w:tcPr>
          <w:p w14:paraId="0A5306F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.3468</w:t>
            </w:r>
          </w:p>
        </w:tc>
        <w:tc>
          <w:tcPr>
            <w:tcW w:w="1037" w:type="dxa"/>
            <w:shd w:val="clear" w:color="auto" w:fill="F3F6F9"/>
            <w:tcMar>
              <w:top w:w="80" w:type="dxa"/>
              <w:left w:w="90" w:type="dxa"/>
              <w:bottom w:w="80" w:type="dxa"/>
              <w:right w:w="90" w:type="dxa"/>
            </w:tcMar>
            <w:vAlign w:val="center"/>
          </w:tcPr>
          <w:p w14:paraId="2E3E1B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.1654</w:t>
            </w:r>
          </w:p>
        </w:tc>
        <w:tc>
          <w:tcPr>
            <w:tcW w:w="1123" w:type="dxa"/>
            <w:shd w:val="clear" w:color="auto" w:fill="F3F6F9"/>
            <w:tcMar>
              <w:top w:w="80" w:type="dxa"/>
              <w:left w:w="90" w:type="dxa"/>
              <w:bottom w:w="80" w:type="dxa"/>
              <w:right w:w="90" w:type="dxa"/>
            </w:tcMar>
            <w:vAlign w:val="center"/>
          </w:tcPr>
          <w:p w14:paraId="1FB78F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.2234</w:t>
            </w:r>
          </w:p>
        </w:tc>
      </w:tr>
      <w:tr w:rsidR="00FE2287" w:rsidRPr="00E4528F" w14:paraId="17EA9B90" w14:textId="77777777" w:rsidTr="00C76C0C">
        <w:trPr>
          <w:cantSplit/>
          <w:jc w:val="center"/>
        </w:trPr>
        <w:tc>
          <w:tcPr>
            <w:tcW w:w="1727" w:type="dxa"/>
            <w:tcMar>
              <w:top w:w="80" w:type="dxa"/>
              <w:left w:w="90" w:type="dxa"/>
              <w:bottom w:w="80" w:type="dxa"/>
              <w:right w:w="90" w:type="dxa"/>
            </w:tcMar>
            <w:vAlign w:val="center"/>
          </w:tcPr>
          <w:p w14:paraId="1F455C3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Uganda</w:t>
            </w:r>
          </w:p>
        </w:tc>
        <w:tc>
          <w:tcPr>
            <w:tcW w:w="792" w:type="dxa"/>
            <w:tcMar>
              <w:top w:w="80" w:type="dxa"/>
              <w:left w:w="90" w:type="dxa"/>
              <w:bottom w:w="80" w:type="dxa"/>
              <w:right w:w="90" w:type="dxa"/>
            </w:tcMar>
            <w:vAlign w:val="center"/>
          </w:tcPr>
          <w:p w14:paraId="42EEB3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1,128</w:t>
            </w:r>
          </w:p>
        </w:tc>
        <w:tc>
          <w:tcPr>
            <w:tcW w:w="1037" w:type="dxa"/>
            <w:tcMar>
              <w:top w:w="80" w:type="dxa"/>
              <w:left w:w="90" w:type="dxa"/>
              <w:bottom w:w="80" w:type="dxa"/>
              <w:right w:w="90" w:type="dxa"/>
            </w:tcMar>
            <w:vAlign w:val="center"/>
          </w:tcPr>
          <w:p w14:paraId="5A6408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.1117</w:t>
            </w:r>
          </w:p>
        </w:tc>
        <w:tc>
          <w:tcPr>
            <w:tcW w:w="1037" w:type="dxa"/>
            <w:tcMar>
              <w:top w:w="80" w:type="dxa"/>
              <w:left w:w="90" w:type="dxa"/>
              <w:bottom w:w="80" w:type="dxa"/>
              <w:right w:w="90" w:type="dxa"/>
            </w:tcMar>
            <w:vAlign w:val="center"/>
          </w:tcPr>
          <w:p w14:paraId="4AB05A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.4113</w:t>
            </w:r>
          </w:p>
        </w:tc>
        <w:tc>
          <w:tcPr>
            <w:tcW w:w="893" w:type="dxa"/>
            <w:tcMar>
              <w:top w:w="80" w:type="dxa"/>
              <w:left w:w="90" w:type="dxa"/>
              <w:bottom w:w="80" w:type="dxa"/>
              <w:right w:w="90" w:type="dxa"/>
            </w:tcMar>
            <w:vAlign w:val="center"/>
          </w:tcPr>
          <w:p w14:paraId="6A9D4A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.4042</w:t>
            </w:r>
          </w:p>
        </w:tc>
        <w:tc>
          <w:tcPr>
            <w:tcW w:w="893" w:type="dxa"/>
            <w:tcMar>
              <w:top w:w="80" w:type="dxa"/>
              <w:left w:w="90" w:type="dxa"/>
              <w:bottom w:w="80" w:type="dxa"/>
              <w:right w:w="90" w:type="dxa"/>
            </w:tcMar>
            <w:vAlign w:val="center"/>
          </w:tcPr>
          <w:p w14:paraId="2F43F6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.5317</w:t>
            </w:r>
          </w:p>
        </w:tc>
        <w:tc>
          <w:tcPr>
            <w:tcW w:w="1037" w:type="dxa"/>
            <w:tcMar>
              <w:top w:w="80" w:type="dxa"/>
              <w:left w:w="90" w:type="dxa"/>
              <w:bottom w:w="80" w:type="dxa"/>
              <w:right w:w="90" w:type="dxa"/>
            </w:tcMar>
            <w:vAlign w:val="center"/>
          </w:tcPr>
          <w:p w14:paraId="5D5820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.1272</w:t>
            </w:r>
          </w:p>
        </w:tc>
        <w:tc>
          <w:tcPr>
            <w:tcW w:w="1123" w:type="dxa"/>
            <w:tcMar>
              <w:top w:w="80" w:type="dxa"/>
              <w:left w:w="90" w:type="dxa"/>
              <w:bottom w:w="80" w:type="dxa"/>
              <w:right w:w="90" w:type="dxa"/>
            </w:tcMar>
            <w:vAlign w:val="center"/>
          </w:tcPr>
          <w:p w14:paraId="18EB5A0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.2155</w:t>
            </w:r>
          </w:p>
        </w:tc>
      </w:tr>
      <w:tr w:rsidR="00FE2287" w:rsidRPr="00E4528F" w14:paraId="3839BCF9" w14:textId="77777777" w:rsidTr="00C76C0C">
        <w:trPr>
          <w:cantSplit/>
          <w:jc w:val="center"/>
        </w:trPr>
        <w:tc>
          <w:tcPr>
            <w:tcW w:w="1727" w:type="dxa"/>
            <w:shd w:val="clear" w:color="auto" w:fill="F3F6F9"/>
            <w:tcMar>
              <w:top w:w="80" w:type="dxa"/>
              <w:left w:w="90" w:type="dxa"/>
              <w:bottom w:w="80" w:type="dxa"/>
              <w:right w:w="90" w:type="dxa"/>
            </w:tcMar>
            <w:vAlign w:val="center"/>
          </w:tcPr>
          <w:p w14:paraId="1E5E99F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Senegal</w:t>
            </w:r>
          </w:p>
        </w:tc>
        <w:tc>
          <w:tcPr>
            <w:tcW w:w="792" w:type="dxa"/>
            <w:shd w:val="clear" w:color="auto" w:fill="F3F6F9"/>
            <w:tcMar>
              <w:top w:w="80" w:type="dxa"/>
              <w:left w:w="90" w:type="dxa"/>
              <w:bottom w:w="80" w:type="dxa"/>
              <w:right w:w="90" w:type="dxa"/>
            </w:tcMar>
            <w:vAlign w:val="center"/>
          </w:tcPr>
          <w:p w14:paraId="2E444FA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1,220</w:t>
            </w:r>
          </w:p>
        </w:tc>
        <w:tc>
          <w:tcPr>
            <w:tcW w:w="1037" w:type="dxa"/>
            <w:shd w:val="clear" w:color="auto" w:fill="F3F6F9"/>
            <w:tcMar>
              <w:top w:w="80" w:type="dxa"/>
              <w:left w:w="90" w:type="dxa"/>
              <w:bottom w:w="80" w:type="dxa"/>
              <w:right w:w="90" w:type="dxa"/>
            </w:tcMar>
            <w:vAlign w:val="center"/>
          </w:tcPr>
          <w:p w14:paraId="0DAF72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.0967</w:t>
            </w:r>
          </w:p>
        </w:tc>
        <w:tc>
          <w:tcPr>
            <w:tcW w:w="1037" w:type="dxa"/>
            <w:shd w:val="clear" w:color="auto" w:fill="F3F6F9"/>
            <w:tcMar>
              <w:top w:w="80" w:type="dxa"/>
              <w:left w:w="90" w:type="dxa"/>
              <w:bottom w:w="80" w:type="dxa"/>
              <w:right w:w="90" w:type="dxa"/>
            </w:tcMar>
            <w:vAlign w:val="center"/>
          </w:tcPr>
          <w:p w14:paraId="1ED72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.4164</w:t>
            </w:r>
          </w:p>
        </w:tc>
        <w:tc>
          <w:tcPr>
            <w:tcW w:w="893" w:type="dxa"/>
            <w:shd w:val="clear" w:color="auto" w:fill="F3F6F9"/>
            <w:tcMar>
              <w:top w:w="80" w:type="dxa"/>
              <w:left w:w="90" w:type="dxa"/>
              <w:bottom w:w="80" w:type="dxa"/>
              <w:right w:w="90" w:type="dxa"/>
            </w:tcMar>
            <w:vAlign w:val="center"/>
          </w:tcPr>
          <w:p w14:paraId="3EDC051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.4020</w:t>
            </w:r>
          </w:p>
        </w:tc>
        <w:tc>
          <w:tcPr>
            <w:tcW w:w="893" w:type="dxa"/>
            <w:shd w:val="clear" w:color="auto" w:fill="F3F6F9"/>
            <w:tcMar>
              <w:top w:w="80" w:type="dxa"/>
              <w:left w:w="90" w:type="dxa"/>
              <w:bottom w:w="80" w:type="dxa"/>
              <w:right w:w="90" w:type="dxa"/>
            </w:tcMar>
            <w:vAlign w:val="center"/>
          </w:tcPr>
          <w:p w14:paraId="19BCE01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.4492</w:t>
            </w:r>
          </w:p>
        </w:tc>
        <w:tc>
          <w:tcPr>
            <w:tcW w:w="1037" w:type="dxa"/>
            <w:shd w:val="clear" w:color="auto" w:fill="F3F6F9"/>
            <w:tcMar>
              <w:top w:w="80" w:type="dxa"/>
              <w:left w:w="90" w:type="dxa"/>
              <w:bottom w:w="80" w:type="dxa"/>
              <w:right w:w="90" w:type="dxa"/>
            </w:tcMar>
            <w:vAlign w:val="center"/>
          </w:tcPr>
          <w:p w14:paraId="7DED68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.1280</w:t>
            </w:r>
          </w:p>
        </w:tc>
        <w:tc>
          <w:tcPr>
            <w:tcW w:w="1123" w:type="dxa"/>
            <w:shd w:val="clear" w:color="auto" w:fill="F3F6F9"/>
            <w:tcMar>
              <w:top w:w="80" w:type="dxa"/>
              <w:left w:w="90" w:type="dxa"/>
              <w:bottom w:w="80" w:type="dxa"/>
              <w:right w:w="90" w:type="dxa"/>
            </w:tcMar>
            <w:vAlign w:val="center"/>
          </w:tcPr>
          <w:p w14:paraId="17CD40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.2143</w:t>
            </w:r>
          </w:p>
        </w:tc>
      </w:tr>
      <w:tr w:rsidR="00FE2287" w:rsidRPr="00E4528F" w14:paraId="343425C5" w14:textId="77777777" w:rsidTr="00C76C0C">
        <w:trPr>
          <w:cantSplit/>
          <w:jc w:val="center"/>
        </w:trPr>
        <w:tc>
          <w:tcPr>
            <w:tcW w:w="1727" w:type="dxa"/>
            <w:tcMar>
              <w:top w:w="80" w:type="dxa"/>
              <w:left w:w="90" w:type="dxa"/>
              <w:bottom w:w="80" w:type="dxa"/>
              <w:right w:w="90" w:type="dxa"/>
            </w:tcMar>
            <w:vAlign w:val="center"/>
          </w:tcPr>
          <w:p w14:paraId="1A1371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Ghana</w:t>
            </w:r>
          </w:p>
        </w:tc>
        <w:tc>
          <w:tcPr>
            <w:tcW w:w="792" w:type="dxa"/>
            <w:tcMar>
              <w:top w:w="80" w:type="dxa"/>
              <w:left w:w="90" w:type="dxa"/>
              <w:bottom w:w="80" w:type="dxa"/>
              <w:right w:w="90" w:type="dxa"/>
            </w:tcMar>
            <w:vAlign w:val="center"/>
          </w:tcPr>
          <w:p w14:paraId="76ED7B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1,380</w:t>
            </w:r>
          </w:p>
        </w:tc>
        <w:tc>
          <w:tcPr>
            <w:tcW w:w="1037" w:type="dxa"/>
            <w:tcMar>
              <w:top w:w="80" w:type="dxa"/>
              <w:left w:w="90" w:type="dxa"/>
              <w:bottom w:w="80" w:type="dxa"/>
              <w:right w:w="90" w:type="dxa"/>
            </w:tcMar>
            <w:vAlign w:val="center"/>
          </w:tcPr>
          <w:p w14:paraId="0FB8D3E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.1145</w:t>
            </w:r>
          </w:p>
        </w:tc>
        <w:tc>
          <w:tcPr>
            <w:tcW w:w="1037" w:type="dxa"/>
            <w:tcMar>
              <w:top w:w="80" w:type="dxa"/>
              <w:left w:w="90" w:type="dxa"/>
              <w:bottom w:w="80" w:type="dxa"/>
              <w:right w:w="90" w:type="dxa"/>
            </w:tcMar>
            <w:vAlign w:val="center"/>
          </w:tcPr>
          <w:p w14:paraId="40A4ED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.4080</w:t>
            </w:r>
          </w:p>
        </w:tc>
        <w:tc>
          <w:tcPr>
            <w:tcW w:w="893" w:type="dxa"/>
            <w:tcMar>
              <w:top w:w="80" w:type="dxa"/>
              <w:left w:w="90" w:type="dxa"/>
              <w:bottom w:w="80" w:type="dxa"/>
              <w:right w:w="90" w:type="dxa"/>
            </w:tcMar>
            <w:vAlign w:val="center"/>
          </w:tcPr>
          <w:p w14:paraId="123819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.3961</w:t>
            </w:r>
          </w:p>
        </w:tc>
        <w:tc>
          <w:tcPr>
            <w:tcW w:w="893" w:type="dxa"/>
            <w:tcMar>
              <w:top w:w="80" w:type="dxa"/>
              <w:left w:w="90" w:type="dxa"/>
              <w:bottom w:w="80" w:type="dxa"/>
              <w:right w:w="90" w:type="dxa"/>
            </w:tcMar>
            <w:vAlign w:val="center"/>
          </w:tcPr>
          <w:p w14:paraId="0D24C6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.5000</w:t>
            </w:r>
          </w:p>
        </w:tc>
        <w:tc>
          <w:tcPr>
            <w:tcW w:w="1037" w:type="dxa"/>
            <w:tcMar>
              <w:top w:w="80" w:type="dxa"/>
              <w:left w:w="90" w:type="dxa"/>
              <w:bottom w:w="80" w:type="dxa"/>
              <w:right w:w="90" w:type="dxa"/>
            </w:tcMar>
            <w:vAlign w:val="center"/>
          </w:tcPr>
          <w:p w14:paraId="56E50B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.1403</w:t>
            </w:r>
          </w:p>
        </w:tc>
        <w:tc>
          <w:tcPr>
            <w:tcW w:w="1123" w:type="dxa"/>
            <w:tcMar>
              <w:top w:w="80" w:type="dxa"/>
              <w:left w:w="90" w:type="dxa"/>
              <w:bottom w:w="80" w:type="dxa"/>
              <w:right w:w="90" w:type="dxa"/>
            </w:tcMar>
            <w:vAlign w:val="center"/>
          </w:tcPr>
          <w:p w14:paraId="2BF013C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.2179</w:t>
            </w:r>
          </w:p>
        </w:tc>
      </w:tr>
      <w:tr w:rsidR="00FE2287" w:rsidRPr="00E4528F" w14:paraId="27E17AA8" w14:textId="77777777" w:rsidTr="00C76C0C">
        <w:trPr>
          <w:cantSplit/>
          <w:jc w:val="center"/>
        </w:trPr>
        <w:tc>
          <w:tcPr>
            <w:tcW w:w="1727" w:type="dxa"/>
            <w:shd w:val="clear" w:color="auto" w:fill="F3F6F9"/>
            <w:tcMar>
              <w:top w:w="80" w:type="dxa"/>
              <w:left w:w="90" w:type="dxa"/>
              <w:bottom w:w="80" w:type="dxa"/>
              <w:right w:w="90" w:type="dxa"/>
            </w:tcMar>
            <w:vAlign w:val="center"/>
          </w:tcPr>
          <w:p w14:paraId="4F99B3E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Zambia</w:t>
            </w:r>
          </w:p>
        </w:tc>
        <w:tc>
          <w:tcPr>
            <w:tcW w:w="792" w:type="dxa"/>
            <w:shd w:val="clear" w:color="auto" w:fill="F3F6F9"/>
            <w:tcMar>
              <w:top w:w="80" w:type="dxa"/>
              <w:left w:w="90" w:type="dxa"/>
              <w:bottom w:w="80" w:type="dxa"/>
              <w:right w:w="90" w:type="dxa"/>
            </w:tcMar>
            <w:vAlign w:val="center"/>
          </w:tcPr>
          <w:p w14:paraId="5698A8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1,108</w:t>
            </w:r>
          </w:p>
        </w:tc>
        <w:tc>
          <w:tcPr>
            <w:tcW w:w="1037" w:type="dxa"/>
            <w:shd w:val="clear" w:color="auto" w:fill="F3F6F9"/>
            <w:tcMar>
              <w:top w:w="80" w:type="dxa"/>
              <w:left w:w="90" w:type="dxa"/>
              <w:bottom w:w="80" w:type="dxa"/>
              <w:right w:w="90" w:type="dxa"/>
            </w:tcMar>
            <w:vAlign w:val="center"/>
          </w:tcPr>
          <w:p w14:paraId="3988C8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.1029</w:t>
            </w:r>
          </w:p>
        </w:tc>
        <w:tc>
          <w:tcPr>
            <w:tcW w:w="1037" w:type="dxa"/>
            <w:shd w:val="clear" w:color="auto" w:fill="F3F6F9"/>
            <w:tcMar>
              <w:top w:w="80" w:type="dxa"/>
              <w:left w:w="90" w:type="dxa"/>
              <w:bottom w:w="80" w:type="dxa"/>
              <w:right w:w="90" w:type="dxa"/>
            </w:tcMar>
            <w:vAlign w:val="center"/>
          </w:tcPr>
          <w:p w14:paraId="4F70809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.4097</w:t>
            </w:r>
          </w:p>
        </w:tc>
        <w:tc>
          <w:tcPr>
            <w:tcW w:w="893" w:type="dxa"/>
            <w:shd w:val="clear" w:color="auto" w:fill="F3F6F9"/>
            <w:tcMar>
              <w:top w:w="80" w:type="dxa"/>
              <w:left w:w="90" w:type="dxa"/>
              <w:bottom w:w="80" w:type="dxa"/>
              <w:right w:w="90" w:type="dxa"/>
            </w:tcMar>
            <w:vAlign w:val="center"/>
          </w:tcPr>
          <w:p w14:paraId="2A019B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.3944</w:t>
            </w:r>
          </w:p>
        </w:tc>
        <w:tc>
          <w:tcPr>
            <w:tcW w:w="893" w:type="dxa"/>
            <w:shd w:val="clear" w:color="auto" w:fill="F3F6F9"/>
            <w:tcMar>
              <w:top w:w="80" w:type="dxa"/>
              <w:left w:w="90" w:type="dxa"/>
              <w:bottom w:w="80" w:type="dxa"/>
              <w:right w:w="90" w:type="dxa"/>
            </w:tcMar>
            <w:vAlign w:val="center"/>
          </w:tcPr>
          <w:p w14:paraId="1AB2F4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.4561</w:t>
            </w:r>
          </w:p>
        </w:tc>
        <w:tc>
          <w:tcPr>
            <w:tcW w:w="1037" w:type="dxa"/>
            <w:shd w:val="clear" w:color="auto" w:fill="F3F6F9"/>
            <w:tcMar>
              <w:top w:w="80" w:type="dxa"/>
              <w:left w:w="90" w:type="dxa"/>
              <w:bottom w:w="80" w:type="dxa"/>
              <w:right w:w="90" w:type="dxa"/>
            </w:tcMar>
            <w:vAlign w:val="center"/>
          </w:tcPr>
          <w:p w14:paraId="5E67A7B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.1366</w:t>
            </w:r>
          </w:p>
        </w:tc>
        <w:tc>
          <w:tcPr>
            <w:tcW w:w="1123" w:type="dxa"/>
            <w:shd w:val="clear" w:color="auto" w:fill="F3F6F9"/>
            <w:tcMar>
              <w:top w:w="80" w:type="dxa"/>
              <w:left w:w="90" w:type="dxa"/>
              <w:bottom w:w="80" w:type="dxa"/>
              <w:right w:w="90" w:type="dxa"/>
            </w:tcMar>
            <w:vAlign w:val="center"/>
          </w:tcPr>
          <w:p w14:paraId="4999AF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.2114</w:t>
            </w:r>
          </w:p>
        </w:tc>
      </w:tr>
      <w:tr w:rsidR="00FE2287" w:rsidRPr="00E4528F" w14:paraId="5D6C1B0B" w14:textId="77777777" w:rsidTr="00C76C0C">
        <w:trPr>
          <w:cantSplit/>
          <w:jc w:val="center"/>
        </w:trPr>
        <w:tc>
          <w:tcPr>
            <w:tcW w:w="1727" w:type="dxa"/>
            <w:tcMar>
              <w:top w:w="80" w:type="dxa"/>
              <w:left w:w="90" w:type="dxa"/>
              <w:bottom w:w="80" w:type="dxa"/>
              <w:right w:w="90" w:type="dxa"/>
            </w:tcMar>
            <w:vAlign w:val="center"/>
          </w:tcPr>
          <w:p w14:paraId="102B52C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Mozambique</w:t>
            </w:r>
          </w:p>
        </w:tc>
        <w:tc>
          <w:tcPr>
            <w:tcW w:w="792" w:type="dxa"/>
            <w:tcMar>
              <w:top w:w="80" w:type="dxa"/>
              <w:left w:w="90" w:type="dxa"/>
              <w:bottom w:w="80" w:type="dxa"/>
              <w:right w:w="90" w:type="dxa"/>
            </w:tcMar>
            <w:vAlign w:val="center"/>
          </w:tcPr>
          <w:p w14:paraId="69145F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993</w:t>
            </w:r>
          </w:p>
        </w:tc>
        <w:tc>
          <w:tcPr>
            <w:tcW w:w="1037" w:type="dxa"/>
            <w:tcMar>
              <w:top w:w="80" w:type="dxa"/>
              <w:left w:w="90" w:type="dxa"/>
              <w:bottom w:w="80" w:type="dxa"/>
              <w:right w:w="90" w:type="dxa"/>
            </w:tcMar>
            <w:vAlign w:val="center"/>
          </w:tcPr>
          <w:p w14:paraId="4D9375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.0997</w:t>
            </w:r>
          </w:p>
        </w:tc>
        <w:tc>
          <w:tcPr>
            <w:tcW w:w="1037" w:type="dxa"/>
            <w:tcMar>
              <w:top w:w="80" w:type="dxa"/>
              <w:left w:w="90" w:type="dxa"/>
              <w:bottom w:w="80" w:type="dxa"/>
              <w:right w:w="90" w:type="dxa"/>
            </w:tcMar>
            <w:vAlign w:val="center"/>
          </w:tcPr>
          <w:p w14:paraId="2D1BCF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.3958</w:t>
            </w:r>
          </w:p>
        </w:tc>
        <w:tc>
          <w:tcPr>
            <w:tcW w:w="893" w:type="dxa"/>
            <w:tcMar>
              <w:top w:w="80" w:type="dxa"/>
              <w:left w:w="90" w:type="dxa"/>
              <w:bottom w:w="80" w:type="dxa"/>
              <w:right w:w="90" w:type="dxa"/>
            </w:tcMar>
            <w:vAlign w:val="center"/>
          </w:tcPr>
          <w:p w14:paraId="1EF570D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.3826</w:t>
            </w:r>
          </w:p>
        </w:tc>
        <w:tc>
          <w:tcPr>
            <w:tcW w:w="893" w:type="dxa"/>
            <w:tcMar>
              <w:top w:w="80" w:type="dxa"/>
              <w:left w:w="90" w:type="dxa"/>
              <w:bottom w:w="80" w:type="dxa"/>
              <w:right w:w="90" w:type="dxa"/>
            </w:tcMar>
            <w:vAlign w:val="center"/>
          </w:tcPr>
          <w:p w14:paraId="48F7D4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.4848</w:t>
            </w:r>
          </w:p>
        </w:tc>
        <w:tc>
          <w:tcPr>
            <w:tcW w:w="1037" w:type="dxa"/>
            <w:tcMar>
              <w:top w:w="80" w:type="dxa"/>
              <w:left w:w="90" w:type="dxa"/>
              <w:bottom w:w="80" w:type="dxa"/>
              <w:right w:w="90" w:type="dxa"/>
            </w:tcMar>
            <w:vAlign w:val="center"/>
          </w:tcPr>
          <w:p w14:paraId="668E19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.1298</w:t>
            </w:r>
          </w:p>
        </w:tc>
        <w:tc>
          <w:tcPr>
            <w:tcW w:w="1123" w:type="dxa"/>
            <w:tcMar>
              <w:top w:w="80" w:type="dxa"/>
              <w:left w:w="90" w:type="dxa"/>
              <w:bottom w:w="80" w:type="dxa"/>
              <w:right w:w="90" w:type="dxa"/>
            </w:tcMar>
            <w:vAlign w:val="center"/>
          </w:tcPr>
          <w:p w14:paraId="747591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.2029</w:t>
            </w:r>
          </w:p>
        </w:tc>
      </w:tr>
      <w:tr w:rsidR="00FE2287" w:rsidRPr="00E4528F" w14:paraId="2C46E614" w14:textId="77777777" w:rsidTr="00C76C0C">
        <w:trPr>
          <w:cantSplit/>
          <w:jc w:val="center"/>
        </w:trPr>
        <w:tc>
          <w:tcPr>
            <w:tcW w:w="1727" w:type="dxa"/>
            <w:shd w:val="clear" w:color="auto" w:fill="F3F6F9"/>
            <w:tcMar>
              <w:top w:w="80" w:type="dxa"/>
              <w:left w:w="90" w:type="dxa"/>
              <w:bottom w:w="80" w:type="dxa"/>
              <w:right w:w="90" w:type="dxa"/>
            </w:tcMar>
            <w:vAlign w:val="center"/>
          </w:tcPr>
          <w:p w14:paraId="17566F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Tanzania</w:t>
            </w:r>
          </w:p>
        </w:tc>
        <w:tc>
          <w:tcPr>
            <w:tcW w:w="792" w:type="dxa"/>
            <w:shd w:val="clear" w:color="auto" w:fill="F3F6F9"/>
            <w:tcMar>
              <w:top w:w="80" w:type="dxa"/>
              <w:left w:w="90" w:type="dxa"/>
              <w:bottom w:w="80" w:type="dxa"/>
              <w:right w:w="90" w:type="dxa"/>
            </w:tcMar>
            <w:vAlign w:val="center"/>
          </w:tcPr>
          <w:p w14:paraId="69EF41C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1,200</w:t>
            </w:r>
          </w:p>
        </w:tc>
        <w:tc>
          <w:tcPr>
            <w:tcW w:w="1037" w:type="dxa"/>
            <w:shd w:val="clear" w:color="auto" w:fill="F3F6F9"/>
            <w:tcMar>
              <w:top w:w="80" w:type="dxa"/>
              <w:left w:w="90" w:type="dxa"/>
              <w:bottom w:w="80" w:type="dxa"/>
              <w:right w:w="90" w:type="dxa"/>
            </w:tcMar>
            <w:vAlign w:val="center"/>
          </w:tcPr>
          <w:p w14:paraId="1ABC4D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.0858</w:t>
            </w:r>
          </w:p>
        </w:tc>
        <w:tc>
          <w:tcPr>
            <w:tcW w:w="1037" w:type="dxa"/>
            <w:shd w:val="clear" w:color="auto" w:fill="F3F6F9"/>
            <w:tcMar>
              <w:top w:w="80" w:type="dxa"/>
              <w:left w:w="90" w:type="dxa"/>
              <w:bottom w:w="80" w:type="dxa"/>
              <w:right w:w="90" w:type="dxa"/>
            </w:tcMar>
            <w:vAlign w:val="center"/>
          </w:tcPr>
          <w:p w14:paraId="4504ACF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.3667</w:t>
            </w:r>
          </w:p>
        </w:tc>
        <w:tc>
          <w:tcPr>
            <w:tcW w:w="893" w:type="dxa"/>
            <w:shd w:val="clear" w:color="auto" w:fill="F3F6F9"/>
            <w:tcMar>
              <w:top w:w="80" w:type="dxa"/>
              <w:left w:w="90" w:type="dxa"/>
              <w:bottom w:w="80" w:type="dxa"/>
              <w:right w:w="90" w:type="dxa"/>
            </w:tcMar>
            <w:vAlign w:val="center"/>
          </w:tcPr>
          <w:p w14:paraId="5F6C86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.3500</w:t>
            </w:r>
          </w:p>
        </w:tc>
        <w:tc>
          <w:tcPr>
            <w:tcW w:w="893" w:type="dxa"/>
            <w:shd w:val="clear" w:color="auto" w:fill="F3F6F9"/>
            <w:tcMar>
              <w:top w:w="80" w:type="dxa"/>
              <w:left w:w="90" w:type="dxa"/>
              <w:bottom w:w="80" w:type="dxa"/>
              <w:right w:w="90" w:type="dxa"/>
            </w:tcMar>
            <w:vAlign w:val="center"/>
          </w:tcPr>
          <w:p w14:paraId="61607A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.4563</w:t>
            </w:r>
          </w:p>
        </w:tc>
        <w:tc>
          <w:tcPr>
            <w:tcW w:w="1037" w:type="dxa"/>
            <w:shd w:val="clear" w:color="auto" w:fill="F3F6F9"/>
            <w:tcMar>
              <w:top w:w="80" w:type="dxa"/>
              <w:left w:w="90" w:type="dxa"/>
              <w:bottom w:w="80" w:type="dxa"/>
              <w:right w:w="90" w:type="dxa"/>
            </w:tcMar>
            <w:vAlign w:val="center"/>
          </w:tcPr>
          <w:p w14:paraId="4D575D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.1273</w:t>
            </w:r>
          </w:p>
        </w:tc>
        <w:tc>
          <w:tcPr>
            <w:tcW w:w="1123" w:type="dxa"/>
            <w:shd w:val="clear" w:color="auto" w:fill="F3F6F9"/>
            <w:tcMar>
              <w:top w:w="80" w:type="dxa"/>
              <w:left w:w="90" w:type="dxa"/>
              <w:bottom w:w="80" w:type="dxa"/>
              <w:right w:w="90" w:type="dxa"/>
            </w:tcMar>
            <w:vAlign w:val="center"/>
          </w:tcPr>
          <w:p w14:paraId="2BAD23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.2043</w:t>
            </w:r>
          </w:p>
        </w:tc>
      </w:tr>
      <w:tr w:rsidR="00FE2287" w:rsidRPr="00E4528F" w14:paraId="7E456B9F" w14:textId="77777777" w:rsidTr="00C76C0C">
        <w:trPr>
          <w:cantSplit/>
          <w:jc w:val="center"/>
        </w:trPr>
        <w:tc>
          <w:tcPr>
            <w:tcW w:w="1727" w:type="dxa"/>
            <w:tcMar>
              <w:top w:w="80" w:type="dxa"/>
              <w:left w:w="90" w:type="dxa"/>
              <w:bottom w:w="80" w:type="dxa"/>
              <w:right w:w="90" w:type="dxa"/>
            </w:tcMar>
            <w:vAlign w:val="center"/>
          </w:tcPr>
          <w:p w14:paraId="36F5579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Ethiopia</w:t>
            </w:r>
          </w:p>
        </w:tc>
        <w:tc>
          <w:tcPr>
            <w:tcW w:w="792" w:type="dxa"/>
            <w:tcMar>
              <w:top w:w="80" w:type="dxa"/>
              <w:left w:w="90" w:type="dxa"/>
              <w:bottom w:w="80" w:type="dxa"/>
              <w:right w:w="90" w:type="dxa"/>
            </w:tcMar>
            <w:vAlign w:val="center"/>
          </w:tcPr>
          <w:p w14:paraId="7D2E433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1,029</w:t>
            </w:r>
          </w:p>
        </w:tc>
        <w:tc>
          <w:tcPr>
            <w:tcW w:w="1037" w:type="dxa"/>
            <w:tcMar>
              <w:top w:w="80" w:type="dxa"/>
              <w:left w:w="90" w:type="dxa"/>
              <w:bottom w:w="80" w:type="dxa"/>
              <w:right w:w="90" w:type="dxa"/>
            </w:tcMar>
            <w:vAlign w:val="center"/>
          </w:tcPr>
          <w:p w14:paraId="72D6D0B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.0952</w:t>
            </w:r>
          </w:p>
        </w:tc>
        <w:tc>
          <w:tcPr>
            <w:tcW w:w="1037" w:type="dxa"/>
            <w:tcMar>
              <w:top w:w="80" w:type="dxa"/>
              <w:left w:w="90" w:type="dxa"/>
              <w:bottom w:w="80" w:type="dxa"/>
              <w:right w:w="90" w:type="dxa"/>
            </w:tcMar>
            <w:vAlign w:val="center"/>
          </w:tcPr>
          <w:p w14:paraId="36117D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.1808</w:t>
            </w:r>
          </w:p>
        </w:tc>
        <w:tc>
          <w:tcPr>
            <w:tcW w:w="893" w:type="dxa"/>
            <w:tcMar>
              <w:top w:w="80" w:type="dxa"/>
              <w:left w:w="90" w:type="dxa"/>
              <w:bottom w:w="80" w:type="dxa"/>
              <w:right w:w="90" w:type="dxa"/>
            </w:tcMar>
            <w:vAlign w:val="center"/>
          </w:tcPr>
          <w:p w14:paraId="57FB33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.1772</w:t>
            </w:r>
          </w:p>
        </w:tc>
        <w:tc>
          <w:tcPr>
            <w:tcW w:w="893" w:type="dxa"/>
            <w:tcMar>
              <w:top w:w="80" w:type="dxa"/>
              <w:left w:w="90" w:type="dxa"/>
              <w:bottom w:w="80" w:type="dxa"/>
              <w:right w:w="90" w:type="dxa"/>
            </w:tcMar>
            <w:vAlign w:val="center"/>
          </w:tcPr>
          <w:p w14:paraId="5AF103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.7857</w:t>
            </w:r>
          </w:p>
        </w:tc>
        <w:tc>
          <w:tcPr>
            <w:tcW w:w="1037" w:type="dxa"/>
            <w:tcMar>
              <w:top w:w="80" w:type="dxa"/>
              <w:left w:w="90" w:type="dxa"/>
              <w:bottom w:w="80" w:type="dxa"/>
              <w:right w:w="90" w:type="dxa"/>
            </w:tcMar>
            <w:vAlign w:val="center"/>
          </w:tcPr>
          <w:p w14:paraId="6B1613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.1129</w:t>
            </w:r>
          </w:p>
        </w:tc>
        <w:tc>
          <w:tcPr>
            <w:tcW w:w="1123" w:type="dxa"/>
            <w:tcMar>
              <w:top w:w="80" w:type="dxa"/>
              <w:left w:w="90" w:type="dxa"/>
              <w:bottom w:w="80" w:type="dxa"/>
              <w:right w:w="90" w:type="dxa"/>
            </w:tcMar>
            <w:vAlign w:val="center"/>
          </w:tcPr>
          <w:p w14:paraId="490274B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.1702</w:t>
            </w:r>
          </w:p>
        </w:tc>
      </w:tr>
      <w:tr w:rsidR="00FE2287" w:rsidRPr="00E4528F" w14:paraId="0EB29EA6" w14:textId="77777777" w:rsidTr="00C76C0C">
        <w:trPr>
          <w:cantSplit/>
          <w:jc w:val="center"/>
        </w:trPr>
        <w:tc>
          <w:tcPr>
            <w:tcW w:w="1727" w:type="dxa"/>
            <w:shd w:val="clear" w:color="auto" w:fill="F3F6F9"/>
            <w:tcMar>
              <w:top w:w="80" w:type="dxa"/>
              <w:left w:w="90" w:type="dxa"/>
              <w:bottom w:w="80" w:type="dxa"/>
              <w:right w:w="90" w:type="dxa"/>
            </w:tcMar>
            <w:vAlign w:val="center"/>
          </w:tcPr>
          <w:p w14:paraId="483EA15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Rwanda</w:t>
            </w:r>
          </w:p>
        </w:tc>
        <w:tc>
          <w:tcPr>
            <w:tcW w:w="792" w:type="dxa"/>
            <w:shd w:val="clear" w:color="auto" w:fill="F3F6F9"/>
            <w:tcMar>
              <w:top w:w="80" w:type="dxa"/>
              <w:left w:w="90" w:type="dxa"/>
              <w:bottom w:w="80" w:type="dxa"/>
              <w:right w:w="90" w:type="dxa"/>
            </w:tcMar>
            <w:vAlign w:val="center"/>
          </w:tcPr>
          <w:p w14:paraId="25C0FD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926</w:t>
            </w:r>
          </w:p>
        </w:tc>
        <w:tc>
          <w:tcPr>
            <w:tcW w:w="1037" w:type="dxa"/>
            <w:shd w:val="clear" w:color="auto" w:fill="F3F6F9"/>
            <w:tcMar>
              <w:top w:w="80" w:type="dxa"/>
              <w:left w:w="90" w:type="dxa"/>
              <w:bottom w:w="80" w:type="dxa"/>
              <w:right w:w="90" w:type="dxa"/>
            </w:tcMar>
            <w:vAlign w:val="center"/>
          </w:tcPr>
          <w:p w14:paraId="77D537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.0562</w:t>
            </w:r>
          </w:p>
        </w:tc>
        <w:tc>
          <w:tcPr>
            <w:tcW w:w="1037" w:type="dxa"/>
            <w:shd w:val="clear" w:color="auto" w:fill="F3F6F9"/>
            <w:tcMar>
              <w:top w:w="80" w:type="dxa"/>
              <w:left w:w="90" w:type="dxa"/>
              <w:bottom w:w="80" w:type="dxa"/>
              <w:right w:w="90" w:type="dxa"/>
            </w:tcMar>
            <w:vAlign w:val="center"/>
          </w:tcPr>
          <w:p w14:paraId="49BF12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.0637</w:t>
            </w:r>
          </w:p>
        </w:tc>
        <w:tc>
          <w:tcPr>
            <w:tcW w:w="893" w:type="dxa"/>
            <w:shd w:val="clear" w:color="auto" w:fill="F3F6F9"/>
            <w:tcMar>
              <w:top w:w="80" w:type="dxa"/>
              <w:left w:w="90" w:type="dxa"/>
              <w:bottom w:w="80" w:type="dxa"/>
              <w:right w:w="90" w:type="dxa"/>
            </w:tcMar>
            <w:vAlign w:val="center"/>
          </w:tcPr>
          <w:p w14:paraId="424017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.0652</w:t>
            </w:r>
          </w:p>
        </w:tc>
        <w:tc>
          <w:tcPr>
            <w:tcW w:w="893" w:type="dxa"/>
            <w:shd w:val="clear" w:color="auto" w:fill="F3F6F9"/>
            <w:tcMar>
              <w:top w:w="80" w:type="dxa"/>
              <w:left w:w="90" w:type="dxa"/>
              <w:bottom w:w="80" w:type="dxa"/>
              <w:right w:w="90" w:type="dxa"/>
            </w:tcMar>
            <w:vAlign w:val="center"/>
          </w:tcPr>
          <w:p w14:paraId="2FDA7C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.9615</w:t>
            </w:r>
          </w:p>
        </w:tc>
        <w:tc>
          <w:tcPr>
            <w:tcW w:w="1037" w:type="dxa"/>
            <w:shd w:val="clear" w:color="auto" w:fill="F3F6F9"/>
            <w:tcMar>
              <w:top w:w="80" w:type="dxa"/>
              <w:left w:w="90" w:type="dxa"/>
              <w:bottom w:w="80" w:type="dxa"/>
              <w:right w:w="90" w:type="dxa"/>
            </w:tcMar>
            <w:vAlign w:val="center"/>
          </w:tcPr>
          <w:p w14:paraId="6BE837F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.0339</w:t>
            </w:r>
          </w:p>
        </w:tc>
        <w:tc>
          <w:tcPr>
            <w:tcW w:w="1123" w:type="dxa"/>
            <w:shd w:val="clear" w:color="auto" w:fill="F3F6F9"/>
            <w:tcMar>
              <w:top w:w="80" w:type="dxa"/>
              <w:left w:w="90" w:type="dxa"/>
              <w:bottom w:w="80" w:type="dxa"/>
              <w:right w:w="90" w:type="dxa"/>
            </w:tcMar>
            <w:vAlign w:val="center"/>
          </w:tcPr>
          <w:p w14:paraId="46B7A7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.1330</w:t>
            </w:r>
          </w:p>
        </w:tc>
      </w:tr>
    </w:tbl>
    <w:p w14:paraId="757CEE77" w14:textId="77777777" w:rsidR="00FE2287" w:rsidRPr="00E4528F" w:rsidRDefault="00FE2287">
      <w:pPr>
        <w:spacing w:after="0"/>
        <w:rPr>
          <w:rFonts w:cs="Times New Roman"/>
          <w:color w:val="000000" w:themeColor="text1"/>
        </w:rPr>
      </w:pPr>
    </w:p>
    <w:p w14:paraId="54D532DB" w14:textId="77777777" w:rsidR="00FE2287" w:rsidRPr="00E4528F" w:rsidRDefault="00000000" w:rsidP="00C76C0C">
      <w:pPr>
        <w:pStyle w:val="Caption"/>
        <w:rPr>
          <w:rFonts w:cs="Times New Roman"/>
          <w:color w:val="000000" w:themeColor="text1"/>
        </w:rPr>
      </w:pPr>
      <w:bookmarkStart w:id="82" w:name="bm_tab_advanced_repro"/>
      <w:r w:rsidRPr="00E4528F">
        <w:rPr>
          <w:rFonts w:cs="Times New Roman"/>
          <w:color w:val="000000" w:themeColor="text1"/>
        </w:rPr>
        <w:t>Table D.2. Advanced-analysis reproducibility record</w:t>
      </w:r>
      <w:bookmarkEnd w:id="8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6408"/>
      </w:tblGrid>
      <w:tr w:rsidR="00FE2287" w:rsidRPr="00E4528F" w14:paraId="36431427" w14:textId="77777777">
        <w:trPr>
          <w:cantSplit/>
          <w:tblHeader/>
          <w:jc w:val="center"/>
        </w:trPr>
        <w:tc>
          <w:tcPr>
            <w:tcW w:w="2232" w:type="dxa"/>
            <w:shd w:val="clear" w:color="auto" w:fill="17365D"/>
            <w:tcMar>
              <w:top w:w="80" w:type="dxa"/>
              <w:left w:w="90" w:type="dxa"/>
              <w:bottom w:w="80" w:type="dxa"/>
              <w:right w:w="90" w:type="dxa"/>
            </w:tcMar>
            <w:vAlign w:val="center"/>
          </w:tcPr>
          <w:p w14:paraId="120CDD7E"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Item</w:t>
            </w:r>
          </w:p>
        </w:tc>
        <w:tc>
          <w:tcPr>
            <w:tcW w:w="6408" w:type="dxa"/>
            <w:shd w:val="clear" w:color="auto" w:fill="17365D"/>
            <w:tcMar>
              <w:top w:w="80" w:type="dxa"/>
              <w:left w:w="90" w:type="dxa"/>
              <w:bottom w:w="80" w:type="dxa"/>
              <w:right w:w="90" w:type="dxa"/>
            </w:tcMar>
            <w:vAlign w:val="center"/>
          </w:tcPr>
          <w:p w14:paraId="1299EDC3"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Recorded value</w:t>
            </w:r>
          </w:p>
        </w:tc>
      </w:tr>
      <w:tr w:rsidR="00FE2287" w:rsidRPr="00E4528F" w14:paraId="7C6CA654" w14:textId="77777777">
        <w:trPr>
          <w:cantSplit/>
          <w:jc w:val="center"/>
        </w:trPr>
        <w:tc>
          <w:tcPr>
            <w:tcW w:w="2232" w:type="dxa"/>
            <w:tcMar>
              <w:top w:w="80" w:type="dxa"/>
              <w:left w:w="90" w:type="dxa"/>
              <w:bottom w:w="80" w:type="dxa"/>
              <w:right w:w="90" w:type="dxa"/>
            </w:tcMar>
            <w:vAlign w:val="center"/>
          </w:tcPr>
          <w:p w14:paraId="4668EC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Analysis seed</w:t>
            </w:r>
          </w:p>
        </w:tc>
        <w:tc>
          <w:tcPr>
            <w:tcW w:w="6408" w:type="dxa"/>
            <w:tcMar>
              <w:top w:w="80" w:type="dxa"/>
              <w:left w:w="90" w:type="dxa"/>
              <w:bottom w:w="80" w:type="dxa"/>
              <w:right w:w="90" w:type="dxa"/>
            </w:tcMar>
            <w:vAlign w:val="center"/>
          </w:tcPr>
          <w:p w14:paraId="42456C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20260724</w:t>
            </w:r>
          </w:p>
        </w:tc>
      </w:tr>
      <w:tr w:rsidR="00FE2287" w:rsidRPr="00E4528F" w14:paraId="6DD4DBAE" w14:textId="77777777">
        <w:trPr>
          <w:cantSplit/>
          <w:jc w:val="center"/>
        </w:trPr>
        <w:tc>
          <w:tcPr>
            <w:tcW w:w="2232" w:type="dxa"/>
            <w:shd w:val="clear" w:color="auto" w:fill="F3F6F9"/>
            <w:tcMar>
              <w:top w:w="80" w:type="dxa"/>
              <w:left w:w="90" w:type="dxa"/>
              <w:bottom w:w="80" w:type="dxa"/>
              <w:right w:w="90" w:type="dxa"/>
            </w:tcMar>
            <w:vAlign w:val="center"/>
          </w:tcPr>
          <w:p w14:paraId="6F35CF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Randomised search</w:t>
            </w:r>
          </w:p>
        </w:tc>
        <w:tc>
          <w:tcPr>
            <w:tcW w:w="6408" w:type="dxa"/>
            <w:shd w:val="clear" w:color="auto" w:fill="F3F6F9"/>
            <w:tcMar>
              <w:top w:w="80" w:type="dxa"/>
              <w:left w:w="90" w:type="dxa"/>
              <w:bottom w:w="80" w:type="dxa"/>
              <w:right w:w="90" w:type="dxa"/>
            </w:tcMar>
            <w:vAlign w:val="center"/>
          </w:tcPr>
          <w:p w14:paraId="7E751C8A" w14:textId="683ADCDA"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24 sampled configurations</w:t>
            </w:r>
            <w:r w:rsidR="004A2D19" w:rsidRPr="00E4528F">
              <w:rPr>
                <w:rFonts w:cs="Times New Roman"/>
                <w:color w:val="000000" w:themeColor="text1"/>
                <w:sz w:val="16"/>
              </w:rPr>
              <w:t>,</w:t>
            </w:r>
            <w:r w:rsidRPr="00E4528F">
              <w:rPr>
                <w:rFonts w:cs="Times New Roman"/>
                <w:color w:val="000000" w:themeColor="text1"/>
                <w:sz w:val="16"/>
              </w:rPr>
              <w:t xml:space="preserve"> validation PR-AUC selection</w:t>
            </w:r>
            <w:r w:rsidR="004A2D19" w:rsidRPr="00E4528F">
              <w:rPr>
                <w:rFonts w:cs="Times New Roman"/>
                <w:color w:val="000000" w:themeColor="text1"/>
                <w:sz w:val="16"/>
              </w:rPr>
              <w:t>,</w:t>
            </w:r>
            <w:r w:rsidRPr="00E4528F">
              <w:rPr>
                <w:rFonts w:cs="Times New Roman"/>
                <w:color w:val="000000" w:themeColor="text1"/>
                <w:sz w:val="16"/>
              </w:rPr>
              <w:t xml:space="preserve"> test evaluated once.</w:t>
            </w:r>
          </w:p>
        </w:tc>
      </w:tr>
      <w:tr w:rsidR="00FE2287" w:rsidRPr="00E4528F" w14:paraId="6C719CB0" w14:textId="77777777">
        <w:trPr>
          <w:cantSplit/>
          <w:jc w:val="center"/>
        </w:trPr>
        <w:tc>
          <w:tcPr>
            <w:tcW w:w="2232" w:type="dxa"/>
            <w:tcMar>
              <w:top w:w="80" w:type="dxa"/>
              <w:left w:w="90" w:type="dxa"/>
              <w:bottom w:w="80" w:type="dxa"/>
              <w:right w:w="90" w:type="dxa"/>
            </w:tcMar>
            <w:vAlign w:val="center"/>
          </w:tcPr>
          <w:p w14:paraId="19FCA4A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Paired bootstrap</w:t>
            </w:r>
          </w:p>
        </w:tc>
        <w:tc>
          <w:tcPr>
            <w:tcW w:w="6408" w:type="dxa"/>
            <w:tcMar>
              <w:top w:w="80" w:type="dxa"/>
              <w:left w:w="90" w:type="dxa"/>
              <w:bottom w:w="80" w:type="dxa"/>
              <w:right w:w="90" w:type="dxa"/>
            </w:tcMar>
            <w:vAlign w:val="center"/>
          </w:tcPr>
          <w:p w14:paraId="0C45CA61" w14:textId="353789FD"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2,000 paired test-set resamples percentile 95% intervals.</w:t>
            </w:r>
          </w:p>
        </w:tc>
      </w:tr>
      <w:tr w:rsidR="00FE2287" w:rsidRPr="00E4528F" w14:paraId="442FB792" w14:textId="77777777">
        <w:trPr>
          <w:cantSplit/>
          <w:jc w:val="center"/>
        </w:trPr>
        <w:tc>
          <w:tcPr>
            <w:tcW w:w="2232" w:type="dxa"/>
            <w:shd w:val="clear" w:color="auto" w:fill="F3F6F9"/>
            <w:tcMar>
              <w:top w:w="80" w:type="dxa"/>
              <w:left w:w="90" w:type="dxa"/>
              <w:bottom w:w="80" w:type="dxa"/>
              <w:right w:w="90" w:type="dxa"/>
            </w:tcMar>
            <w:vAlign w:val="center"/>
          </w:tcPr>
          <w:p w14:paraId="5D9507A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Permutation diagnostic</w:t>
            </w:r>
          </w:p>
        </w:tc>
        <w:tc>
          <w:tcPr>
            <w:tcW w:w="6408" w:type="dxa"/>
            <w:shd w:val="clear" w:color="auto" w:fill="F3F6F9"/>
            <w:tcMar>
              <w:top w:w="80" w:type="dxa"/>
              <w:left w:w="90" w:type="dxa"/>
              <w:bottom w:w="80" w:type="dxa"/>
              <w:right w:w="90" w:type="dxa"/>
            </w:tcMar>
            <w:vAlign w:val="center"/>
          </w:tcPr>
          <w:p w14:paraId="39531A96" w14:textId="011EAF89"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100 independently permuted training-label fits</w:t>
            </w:r>
            <w:r w:rsidR="004A2D19" w:rsidRPr="00E4528F">
              <w:rPr>
                <w:rFonts w:cs="Times New Roman"/>
                <w:color w:val="000000" w:themeColor="text1"/>
                <w:sz w:val="16"/>
              </w:rPr>
              <w:t>,</w:t>
            </w:r>
            <w:r w:rsidRPr="00E4528F">
              <w:rPr>
                <w:rFonts w:cs="Times New Roman"/>
                <w:color w:val="000000" w:themeColor="text1"/>
                <w:sz w:val="16"/>
              </w:rPr>
              <w:t xml:space="preserve"> empirical p=(b+1)/(B+1).</w:t>
            </w:r>
          </w:p>
        </w:tc>
      </w:tr>
      <w:tr w:rsidR="00FE2287" w:rsidRPr="00E4528F" w14:paraId="6863CB50" w14:textId="77777777">
        <w:trPr>
          <w:cantSplit/>
          <w:jc w:val="center"/>
        </w:trPr>
        <w:tc>
          <w:tcPr>
            <w:tcW w:w="2232" w:type="dxa"/>
            <w:tcMar>
              <w:top w:w="80" w:type="dxa"/>
              <w:left w:w="90" w:type="dxa"/>
              <w:bottom w:w="80" w:type="dxa"/>
              <w:right w:w="90" w:type="dxa"/>
            </w:tcMar>
            <w:vAlign w:val="center"/>
          </w:tcPr>
          <w:p w14:paraId="75A236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Fairness audit</w:t>
            </w:r>
          </w:p>
        </w:tc>
        <w:tc>
          <w:tcPr>
            <w:tcW w:w="6408" w:type="dxa"/>
            <w:tcMar>
              <w:top w:w="80" w:type="dxa"/>
              <w:left w:w="90" w:type="dxa"/>
              <w:bottom w:w="80" w:type="dxa"/>
              <w:right w:w="90" w:type="dxa"/>
            </w:tcMar>
            <w:vAlign w:val="center"/>
          </w:tcPr>
          <w:p w14:paraId="6AFF8A2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Country-level selection, FPR, FNR, precision, recall, Brier and calibration slope.</w:t>
            </w:r>
          </w:p>
        </w:tc>
      </w:tr>
      <w:tr w:rsidR="00FE2287" w:rsidRPr="00E4528F" w14:paraId="231A0203" w14:textId="77777777">
        <w:trPr>
          <w:cantSplit/>
          <w:jc w:val="center"/>
        </w:trPr>
        <w:tc>
          <w:tcPr>
            <w:tcW w:w="2232" w:type="dxa"/>
            <w:shd w:val="clear" w:color="auto" w:fill="F3F6F9"/>
            <w:tcMar>
              <w:top w:w="80" w:type="dxa"/>
              <w:left w:w="90" w:type="dxa"/>
              <w:bottom w:w="80" w:type="dxa"/>
              <w:right w:w="90" w:type="dxa"/>
            </w:tcMar>
            <w:vAlign w:val="center"/>
          </w:tcPr>
          <w:p w14:paraId="577BB17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Calibration</w:t>
            </w:r>
          </w:p>
        </w:tc>
        <w:tc>
          <w:tcPr>
            <w:tcW w:w="6408" w:type="dxa"/>
            <w:shd w:val="clear" w:color="auto" w:fill="F3F6F9"/>
            <w:tcMar>
              <w:top w:w="80" w:type="dxa"/>
              <w:left w:w="90" w:type="dxa"/>
              <w:bottom w:w="80" w:type="dxa"/>
              <w:right w:w="90" w:type="dxa"/>
            </w:tcMar>
            <w:vAlign w:val="center"/>
          </w:tcPr>
          <w:p w14:paraId="3F54610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Ten quantile bins and Brier reliability–resolution–uncertainty decomposition.</w:t>
            </w:r>
          </w:p>
        </w:tc>
      </w:tr>
      <w:tr w:rsidR="00FE2287" w:rsidRPr="00E4528F" w14:paraId="39DD8D6E" w14:textId="77777777">
        <w:trPr>
          <w:cantSplit/>
          <w:jc w:val="center"/>
        </w:trPr>
        <w:tc>
          <w:tcPr>
            <w:tcW w:w="2232" w:type="dxa"/>
            <w:tcMar>
              <w:top w:w="80" w:type="dxa"/>
              <w:left w:w="90" w:type="dxa"/>
              <w:bottom w:w="80" w:type="dxa"/>
              <w:right w:w="90" w:type="dxa"/>
            </w:tcMar>
            <w:vAlign w:val="center"/>
          </w:tcPr>
          <w:p w14:paraId="37CBEB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Repository evidence status</w:t>
            </w:r>
          </w:p>
        </w:tc>
        <w:tc>
          <w:tcPr>
            <w:tcW w:w="6408" w:type="dxa"/>
            <w:tcMar>
              <w:top w:w="80" w:type="dxa"/>
              <w:left w:w="90" w:type="dxa"/>
              <w:bottom w:w="80" w:type="dxa"/>
              <w:right w:w="90" w:type="dxa"/>
            </w:tcMar>
            <w:vAlign w:val="center"/>
          </w:tcPr>
          <w:p w14:paraId="251F39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Dataset/model hashes verified; advanced script and JSON absent.</w:t>
            </w:r>
          </w:p>
        </w:tc>
      </w:tr>
      <w:tr w:rsidR="00FE2287" w:rsidRPr="00E4528F" w14:paraId="5518484D" w14:textId="77777777">
        <w:trPr>
          <w:cantSplit/>
          <w:jc w:val="center"/>
        </w:trPr>
        <w:tc>
          <w:tcPr>
            <w:tcW w:w="2232" w:type="dxa"/>
            <w:shd w:val="clear" w:color="auto" w:fill="F3F6F9"/>
            <w:tcMar>
              <w:top w:w="80" w:type="dxa"/>
              <w:left w:w="90" w:type="dxa"/>
              <w:bottom w:w="80" w:type="dxa"/>
              <w:right w:w="90" w:type="dxa"/>
            </w:tcMar>
            <w:vAlign w:val="center"/>
          </w:tcPr>
          <w:p w14:paraId="038794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Reproduction requirement</w:t>
            </w:r>
          </w:p>
        </w:tc>
        <w:tc>
          <w:tcPr>
            <w:tcW w:w="6408" w:type="dxa"/>
            <w:shd w:val="clear" w:color="auto" w:fill="F3F6F9"/>
            <w:tcMar>
              <w:top w:w="80" w:type="dxa"/>
              <w:left w:w="90" w:type="dxa"/>
              <w:bottom w:w="80" w:type="dxa"/>
              <w:right w:w="90" w:type="dxa"/>
            </w:tcMar>
            <w:vAlign w:val="center"/>
          </w:tcPr>
          <w:p w14:paraId="035E5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Archive the analysis code, JSON, environment and execution log.</w:t>
            </w:r>
          </w:p>
        </w:tc>
      </w:tr>
    </w:tbl>
    <w:p w14:paraId="1F9A9D6C" w14:textId="77777777" w:rsidR="00FE2287" w:rsidRDefault="00FE2287">
      <w:pPr>
        <w:spacing w:after="0"/>
        <w:rPr>
          <w:rFonts w:cs="Times New Roman"/>
          <w:color w:val="000000" w:themeColor="text1"/>
        </w:rPr>
      </w:pPr>
    </w:p>
    <w:p w14:paraId="1885E74A" w14:textId="77777777" w:rsidR="0091672A" w:rsidRDefault="0091672A">
      <w:pPr>
        <w:spacing w:after="0"/>
        <w:rPr>
          <w:rFonts w:cs="Times New Roman"/>
          <w:color w:val="000000" w:themeColor="text1"/>
        </w:rPr>
      </w:pPr>
    </w:p>
    <w:p w14:paraId="71934EA4" w14:textId="77777777" w:rsidR="0091672A" w:rsidRDefault="0091672A">
      <w:pPr>
        <w:spacing w:after="0"/>
        <w:rPr>
          <w:rFonts w:cs="Times New Roman"/>
          <w:color w:val="000000" w:themeColor="text1"/>
        </w:rPr>
      </w:pPr>
    </w:p>
    <w:p w14:paraId="5D1B0356" w14:textId="6A7E910C" w:rsidR="0091672A" w:rsidRPr="00E4528F" w:rsidRDefault="0091672A">
      <w:pPr>
        <w:spacing w:after="0"/>
        <w:rPr>
          <w:rFonts w:cs="Times New Roman"/>
          <w:color w:val="000000" w:themeColor="text1"/>
        </w:rPr>
      </w:pPr>
    </w:p>
    <w:sectPr w:rsidR="0091672A" w:rsidRPr="00E4528F" w:rsidSect="00034616">
      <w:headerReference w:type="default" r:id="rId22"/>
      <w:footerReference w:type="default" r:id="rId23"/>
      <w:pgSz w:w="12240" w:h="15840"/>
      <w:pgMar w:top="1296" w:right="1800" w:bottom="1224" w:left="180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2187E7" w14:textId="77777777" w:rsidR="00A544D0" w:rsidRDefault="00A544D0">
      <w:pPr>
        <w:spacing w:after="0" w:line="240" w:lineRule="auto"/>
      </w:pPr>
      <w:r>
        <w:separator/>
      </w:r>
    </w:p>
  </w:endnote>
  <w:endnote w:type="continuationSeparator" w:id="0">
    <w:p w14:paraId="38647F75" w14:textId="77777777" w:rsidR="00A544D0" w:rsidRDefault="00A5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62022" w14:textId="77777777" w:rsidR="00FE2287" w:rsidRDefault="00FE2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FFD66"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C451F"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5B5436" w14:textId="77777777" w:rsidR="00A544D0" w:rsidRDefault="00A544D0">
      <w:pPr>
        <w:spacing w:after="0" w:line="240" w:lineRule="auto"/>
      </w:pPr>
      <w:r>
        <w:separator/>
      </w:r>
    </w:p>
  </w:footnote>
  <w:footnote w:type="continuationSeparator" w:id="0">
    <w:p w14:paraId="4067B2A8" w14:textId="77777777" w:rsidR="00A544D0" w:rsidRDefault="00A54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6995A" w14:textId="77777777" w:rsidR="00FE2287" w:rsidRDefault="00FE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3C367" w14:textId="77777777" w:rsidR="00FE2287" w:rsidRDefault="00FE22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A326A" w14:textId="77777777" w:rsidR="00FE2287" w:rsidRDefault="00000000">
    <w:pPr>
      <w:pStyle w:val="Header"/>
      <w:pBdr>
        <w:bottom w:val="single" w:sz="4" w:space="5" w:color="B7C9DA"/>
      </w:pBdr>
      <w:spacing w:after="80"/>
      <w:jc w:val="center"/>
    </w:pPr>
    <w:r>
      <w:rPr>
        <w:smallCaps/>
        <w:color w:val="666666"/>
        <w:sz w:val="16"/>
      </w:rPr>
      <w:t>A DECENTRALISED CLAIMS REGISTRY FOR AI-READY INSURANCE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9171">
    <w:abstractNumId w:val="8"/>
  </w:num>
  <w:num w:numId="2" w16cid:durableId="1681078387">
    <w:abstractNumId w:val="6"/>
  </w:num>
  <w:num w:numId="3" w16cid:durableId="2145610475">
    <w:abstractNumId w:val="5"/>
  </w:num>
  <w:num w:numId="4" w16cid:durableId="1519926161">
    <w:abstractNumId w:val="4"/>
  </w:num>
  <w:num w:numId="5" w16cid:durableId="152915263">
    <w:abstractNumId w:val="7"/>
  </w:num>
  <w:num w:numId="6" w16cid:durableId="667447229">
    <w:abstractNumId w:val="3"/>
  </w:num>
  <w:num w:numId="7" w16cid:durableId="479081962">
    <w:abstractNumId w:val="2"/>
  </w:num>
  <w:num w:numId="8" w16cid:durableId="1764647346">
    <w:abstractNumId w:val="1"/>
  </w:num>
  <w:num w:numId="9" w16cid:durableId="832716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11"/>
    <w:rsid w:val="00034616"/>
    <w:rsid w:val="0006063C"/>
    <w:rsid w:val="000A654B"/>
    <w:rsid w:val="00143856"/>
    <w:rsid w:val="0015074B"/>
    <w:rsid w:val="001765B6"/>
    <w:rsid w:val="00182B92"/>
    <w:rsid w:val="001A26AA"/>
    <w:rsid w:val="001A6733"/>
    <w:rsid w:val="00280FE4"/>
    <w:rsid w:val="002943B6"/>
    <w:rsid w:val="0029639D"/>
    <w:rsid w:val="00326F90"/>
    <w:rsid w:val="00354F4A"/>
    <w:rsid w:val="003915FB"/>
    <w:rsid w:val="0040184E"/>
    <w:rsid w:val="00437A2D"/>
    <w:rsid w:val="00461422"/>
    <w:rsid w:val="004A2D19"/>
    <w:rsid w:val="004B082A"/>
    <w:rsid w:val="004C2716"/>
    <w:rsid w:val="004F535C"/>
    <w:rsid w:val="00560888"/>
    <w:rsid w:val="005B6481"/>
    <w:rsid w:val="005E1401"/>
    <w:rsid w:val="00601F85"/>
    <w:rsid w:val="00656B3E"/>
    <w:rsid w:val="006C008F"/>
    <w:rsid w:val="006C1DC7"/>
    <w:rsid w:val="007629D5"/>
    <w:rsid w:val="007C1C19"/>
    <w:rsid w:val="007D6E63"/>
    <w:rsid w:val="00813CEA"/>
    <w:rsid w:val="008A4A50"/>
    <w:rsid w:val="008B57BA"/>
    <w:rsid w:val="0091672A"/>
    <w:rsid w:val="00923345"/>
    <w:rsid w:val="00926696"/>
    <w:rsid w:val="0098247D"/>
    <w:rsid w:val="00983438"/>
    <w:rsid w:val="00A544D0"/>
    <w:rsid w:val="00AA1D8D"/>
    <w:rsid w:val="00B001E4"/>
    <w:rsid w:val="00B135ED"/>
    <w:rsid w:val="00B26F4A"/>
    <w:rsid w:val="00B47730"/>
    <w:rsid w:val="00C31099"/>
    <w:rsid w:val="00C47E78"/>
    <w:rsid w:val="00C74B7B"/>
    <w:rsid w:val="00C76C0C"/>
    <w:rsid w:val="00C83826"/>
    <w:rsid w:val="00CB0664"/>
    <w:rsid w:val="00CC4D6E"/>
    <w:rsid w:val="00CC61ED"/>
    <w:rsid w:val="00E4528F"/>
    <w:rsid w:val="00E611D0"/>
    <w:rsid w:val="00E66B75"/>
    <w:rsid w:val="00F24F95"/>
    <w:rsid w:val="00FC693F"/>
    <w:rsid w:val="00FD2FD0"/>
    <w:rsid w:val="00FD5AFE"/>
    <w:rsid w:val="00FE2287"/>
    <w:rsid w:val="00FF3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5D455"/>
  <w14:defaultImageDpi w14:val="300"/>
  <w15:docId w15:val="{0B6F886C-1D6C-4E4D-9FD1-C378974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mallCap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line="240" w:lineRule="auto"/>
    </w:pPr>
    <w:rPr>
      <w:rFonts w:ascii="Times New Roman" w:eastAsia="Times New Roman" w:hAnsi="Times New Roman"/>
      <w:color w:val="000000"/>
      <w:sz w:val="21"/>
    </w:rPr>
  </w:style>
  <w:style w:type="paragraph" w:customStyle="1" w:styleId="TOC21">
    <w:name w:val="TOC 21"/>
    <w:pPr>
      <w:spacing w:line="240" w:lineRule="auto"/>
    </w:pPr>
    <w:rPr>
      <w:rFonts w:ascii="Times New Roman" w:eastAsia="Times New Roman" w:hAnsi="Times New Roman"/>
      <w:color w:val="000000"/>
      <w:sz w:val="21"/>
    </w:rPr>
  </w:style>
  <w:style w:type="paragraph" w:customStyle="1" w:styleId="Reference">
    <w:name w:val="Reference"/>
    <w:pPr>
      <w:keepLines/>
      <w:spacing w:after="120" w:line="240" w:lineRule="auto"/>
      <w:ind w:left="432" w:hanging="432"/>
    </w:pPr>
    <w:rPr>
      <w:rFonts w:ascii="Times New Roman" w:eastAsia="Times New Roman" w:hAnsi="Times New Roman"/>
      <w:sz w:val="21"/>
    </w:rPr>
  </w:style>
  <w:style w:type="character" w:styleId="Hyperlink">
    <w:name w:val="Hyperlink"/>
    <w:basedOn w:val="DefaultParagraphFont"/>
    <w:uiPriority w:val="99"/>
    <w:unhideWhenUsed/>
    <w:rsid w:val="00354F4A"/>
    <w:rPr>
      <w:color w:val="0000FF" w:themeColor="hyperlink"/>
      <w:u w:val="single"/>
    </w:rPr>
  </w:style>
  <w:style w:type="character" w:styleId="UnresolvedMention">
    <w:name w:val="Unresolved Mention"/>
    <w:basedOn w:val="DefaultParagraphFont"/>
    <w:uiPriority w:val="99"/>
    <w:semiHidden/>
    <w:unhideWhenUsed/>
    <w:rsid w:val="00354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github.com/ganesh1997oli/Decentralized-Claims-Registry"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HarvardAnglia2008OfficeOnline.xsl" StyleName="Harvard - Anglia" Version="2008">
  <b:Source>
    <b:Tag>Wan21</b:Tag>
    <b:SourceType>ConferenceProceedings</b:SourceType>
    <b:Guid>{1373F212-EDB9-51D0-8934-E3E03E389AF3}</b:Guid>
    <b:Author>
      <b:Author>
        <b:NameList>
          <b:Person>
            <b:Last>Wang</b:Last>
            <b:First>Guozhang</b:First>
          </b:Person>
          <b:Person>
            <b:Last>Chen</b:Last>
            <b:First>Lei</b:First>
          </b:Person>
          <b:Person>
            <b:Last>Dikshit</b:Last>
            <b:First>Ayusman</b:First>
          </b:Person>
          <b:Person>
            <b:Last>Gustafson</b:Last>
            <b:First>Jason</b:First>
          </b:Person>
          <b:Person>
            <b:Last>Chen</b:Last>
            <b:First>Boyang</b:First>
          </b:Person>
          <b:Person>
            <b:Last>Sax</b:Last>
            <b:First>Matthias J.</b:First>
          </b:Person>
          <b:Person>
            <b:Last>Roesler</b:Last>
            <b:First>John</b:First>
          </b:Person>
          <b:Person>
            <b:Last>Blee-Goldman</b:Last>
            <b:First>Sophie</b:First>
          </b:Person>
          <b:Person>
            <b:Last>Cadonna</b:Last>
            <b:First>Bruno</b:First>
          </b:Person>
          <b:Person>
            <b:Last>Mehta</b:Last>
            <b:First>Apurva</b:First>
          </b:Person>
          <b:Person>
            <b:Last>Madan</b:Last>
            <b:First>Varun</b:First>
          </b:Person>
          <b:Person>
            <b:Last>Rao</b:Last>
            <b:First>Jun</b:First>
          </b:Person>
        </b:NameList>
      </b:Author>
    </b:Author>
    <b:Title>Consistency and Completeness: Rethinking Distributed Stream Processing in Apache Kafka</b:Title>
    <b:Year>2021</b:Year>
    <b:ConferenceName>Proceedings of the 2021 International Conference on Management of Data</b:ConferenceName>
    <b:Pages>2602–2613</b:Pages>
    <b:URL>https://doi.org/10.1145/3448016.3457556</b:URL>
    <b:YearAccessed>2026</b:YearAccessed>
    <b:MonthAccessed>August</b:MonthAccessed>
    <b:DayAccessed>11</b:DayAccessed>
    <b:RefOrder>1</b:RefOrder>
  </b:Source>
  <b:Source>
    <b:Tag>Bro21</b:Tag>
    <b:SourceType>Report</b:SourceType>
    <b:Guid>{0FBDD19D-CE8E-54E7-9D85-78C67C6D1430}</b:Guid>
    <b:Author>
      <b:Author>
        <b:NameList>
          <b:Person>
            <b:Last>Broniatowski</b:Last>
            <b:First>D.A.</b:First>
          </b:Person>
        </b:NameList>
      </b:Author>
    </b:Author>
    <b:Title>Psychological Foundations of Explainability and Interpretability in Artificial Intelligence</b:Title>
    <b:Year>2021</b:Year>
    <b:Institution>National Institute of Standards and Technology</b:Institution>
    <b:StandardNumber>NISTIR 8367</b:StandardNumber>
    <b:URL>https://doi.org/10.6028/NIST.IR.8367</b:URL>
    <b:YearAccessed>2026</b:YearAccessed>
    <b:MonthAccessed>August</b:MonthAccessed>
    <b:DayAccessed>11</b:DayAccessed>
    <b:RefOrder>2</b:RefOrder>
  </b:Source>
  <b:Source>
    <b:Tag>Car26</b:Tag>
    <b:SourceType>JournalArticle</b:SourceType>
    <b:Guid>{86CD5611-A796-5A3F-B748-68D51FA13C7D}</b:Guid>
    <b:Author>
      <b:Author>
        <b:NameList>
          <b:Person>
            <b:Last>Carracedo</b:Last>
            <b:First>P.</b:First>
          </b:Person>
          <b:Person>
            <b:Last>Hervás</b:Last>
            <b:First>D.</b:First>
          </b:Person>
          <b:Person>
            <b:Last>Soriano-Gonzalez</b:Last>
            <b:First>R.</b:First>
          </b:Person>
        </b:NameList>
      </b:Author>
    </b:Author>
    <b:Title>Class imbalance in insurance fraud detection models</b:Title>
    <b:Year>2026</b:Year>
    <b:JournalName>European Actuarial Journal</b:JournalName>
    <b:URL>https://doi.org/10.1007/s13385-026-00456-9</b:URL>
    <b:YearAccessed>2026</b:YearAccessed>
    <b:MonthAccessed>August</b:MonthAccessed>
    <b:DayAccessed>11</b:DayAccessed>
    <b:RefOrder>3</b:RefOrder>
  </b:Source>
  <b:Source>
    <b:Tag>Che21</b:Tag>
    <b:SourceType>JournalArticle</b:SourceType>
    <b:Guid>{D5E5AFB6-FF7A-5BD0-A351-E88AF860A37F}</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Year>2021</b:Year>
    <b:JournalName>Sustainability</b:JournalName>
    <b:Volume>13</b:Volume>
    <b:Issue>16</b:Issue>
    <b:Pages>9386</b:Pages>
    <b:URL>https://doi.org/10.3390/su13169386</b:URL>
    <b:YearAccessed>2026</b:YearAccessed>
    <b:MonthAccessed>August</b:MonthAccessed>
    <b:DayAccessed>11</b:DayAccessed>
    <b:RefOrder>4</b:RefOrder>
  </b:Source>
  <b:Source>
    <b:Tag>DUA25</b:Tag>
    <b:SourceType>Misc</b:SourceType>
    <b:Guid>{51EB63EB-678E-56CB-9F52-EDF814DBC243}</b:Guid>
    <b:Author>
      <b:Author>
        <b:Corporate>United Kingdom</b:Corporate>
      </b:Author>
    </b:Author>
    <b:Title>Data (Use and Access) Act 2025, c.18, s.80</b:Title>
    <b:Year>2025</b:Year>
    <b:URL>https://www.legislation.gov.uk/ukpga/2025/18/section/80</b:URL>
    <b:YearAccessed>2026</b:YearAccessed>
    <b:MonthAccessed>August</b:MonthAccessed>
    <b:DayAccessed>11</b:DayAccessed>
    <b:RefOrder>5</b:RefOrder>
  </b:Source>
  <b:Source>
    <b:Tag>Deb23</b:Tag>
    <b:SourceType>JournalArticle</b:SourceType>
    <b:Guid>{FF3802A2-3A79-5C5D-BFFC-D22BB4EB0237}</b:Guid>
    <b:Author>
      <b:Author>
        <b:NameList>
          <b:Person>
            <b:Last>Debener</b:Last>
            <b:First>J.</b:First>
          </b:Person>
          <b:Person>
            <b:Last>Heinke</b:Last>
            <b:First>V.</b:First>
          </b:Person>
          <b:Person>
            <b:Last>Kriebel</b:Last>
            <b:First>J.</b:First>
          </b:Person>
        </b:NameList>
      </b:Author>
    </b:Author>
    <b:Title>Detecting insurance fraud using supervised and unsupervised machine learning</b:Title>
    <b:Year>2023</b:Year>
    <b:JournalName>Journal of Risk and Insurance</b:JournalName>
    <b:Volume>90</b:Volume>
    <b:Issue>3</b:Issue>
    <b:Pages>743–768</b:Pages>
    <b:URL>https://doi.org/10.1111/jori.12427</b:URL>
    <b:YearAccessed>2026</b:YearAccessed>
    <b:MonthAccessed>August</b:MonthAccessed>
    <b:DayAccessed>11</b:DayAccessed>
    <b:RefOrder>6</b:RefOrder>
  </b:Source>
  <b:Source>
    <b:Tag>Dec24</b:Tag>
    <b:SourceType>ConferenceProceedings</b:SourceType>
    <b:Guid>{E836AA7A-FA4F-5235-A22F-D180742BDB23}</b:Guid>
    <b:Author>
      <b:Author>
        <b:NameList>
          <b:Person>
            <b:Last>Decruyenaere</b:Last>
            <b:First>Alexander</b:First>
          </b:Person>
          <b:Person>
            <b:Last>Dehaene</b:Last>
            <b:First>Heidelinde</b:First>
          </b:Person>
          <b:Person>
            <b:Last>Rabaey</b:Last>
            <b:First>Paloma</b:First>
          </b:Person>
          <b:Person>
            <b:Last>Polet</b:Last>
            <b:First>Christiaan</b:First>
          </b:Person>
          <b:Person>
            <b:Last>Decruyenaere</b:Last>
            <b:First>Johan</b:First>
          </b:Person>
          <b:Person>
            <b:Last>Vansteelandt</b:Last>
            <b:First>Stijn</b:First>
          </b:Person>
          <b:Person>
            <b:Last>Demeester</b:Last>
            <b:First>Thomas</b:First>
          </b:Person>
        </b:NameList>
      </b:Author>
    </b:Author>
    <b:Title>The real deal behind the artificial appeal: inferential utility of tabular synthetic data</b:Title>
    <b:Year>2024</b:Year>
    <b:ConferenceName>Proceedings of the Fortieth Conference on Uncertainty in Artificial Intelligence</b:ConferenceName>
    <b:Volume>244</b:Volume>
    <b:Pages>966–996</b:Pages>
    <b:Publisher>PMLR</b:Publisher>
    <b:URL>https://proceedings.mlr.press/v244/decruyenaere24a.html</b:URL>
    <b:YearAccessed>2026</b:YearAccessed>
    <b:MonthAccessed>August</b:MonthAccessed>
    <b:DayAccessed>11</b:DayAccessed>
    <b:RefOrder>7</b:RefOrder>
  </b:Source>
  <b:Source>
    <b:Tag>Dim24</b:Tag>
    <b:SourceType>JournalArticle</b:SourceType>
    <b:Guid>{229DB86D-832B-5B2D-A058-A10EC7F9C428}</b:Guid>
    <b:Author>
      <b:Author>
        <b:NameList>
          <b:Person>
            <b:Last>Dimitriadis</b:Last>
            <b:First>T.</b:First>
          </b:Person>
          <b:Person>
            <b:Last>Gneiting</b:Last>
            <b:First>T.</b:First>
          </b:Person>
          <b:Person>
            <b:Last>Jordan</b:Last>
            <b:First>A.I.</b:First>
          </b:Person>
          <b:Person>
            <b:Last>Vogel</b:Last>
            <b:First>P.</b:First>
          </b:Person>
        </b:NameList>
      </b:Author>
    </b:Author>
    <b:Title>Evaluating probabilistic classifiers: the triptych</b:Title>
    <b:Year>2024</b:Year>
    <b:JournalName>International Journal of Forecasting</b:JournalName>
    <b:Volume>40</b:Volume>
    <b:Issue>3</b:Issue>
    <b:Pages>1101–1122</b:Pages>
    <b:URL>https://doi.org/10.1016/j.ijforecast.2023.09.007</b:URL>
    <b:YearAccessed>2026</b:YearAccessed>
    <b:MonthAccessed>August</b:MonthAccessed>
    <b:DayAccessed>11</b:DayAccessed>
    <b:RefOrder>8</b:RefOrder>
  </b:Source>
  <b:Source>
    <b:Tag>ESA26</b:Tag>
    <b:SourceType>InternetSite</b:SourceType>
    <b:Guid>{EA51FB1F-4681-58D9-B77D-0D698721875B}</b:Guid>
    <b:Author>
      <b:Author>
        <b:Corporate>Electric Sheep Africa</b:Corporate>
      </b:Author>
    </b:Author>
    <b:Title>African Motor Insurance Claims Dataset</b:Title>
    <b:Year>2026</b:Year>
    <b:Publisher>Hugging Face Datasets</b:Publisher>
    <b:URL>https://huggingface.co/datasets/electricsheepafrica/africa-synth-motor-insurance-claims-all/tree/7b8b6e8526c28ea54ae8e6414666d48d108221a1</b:URL>
    <b:YearAccessed>2026</b:YearAccessed>
    <b:MonthAccessed>August</b:MonthAccessed>
    <b:DayAccessed>21</b:DayAccessed>
    <b:RefOrder>9</b:RefOrder>
  </b:Source>
  <b:Source>
    <b:Tag>EEA25</b:Tag>
    <b:SourceType>Report</b:SourceType>
    <b:Guid>{F44342B9-2D77-50F9-A227-396E781F071F}</b:Guid>
    <b:Author>
      <b:Author>
        <b:Corporate>Enterprise Ethereum Alliance</b:Corporate>
      </b:Author>
    </b:Author>
    <b:Title>EthTrust Security Levels Specification, version 3</b:Title>
    <b:Year>2025</b:Year>
    <b:URL>https://entethalliance.org/specs/ethtrust-sl/v3/</b:URL>
    <b:YearAccessed>2026</b:YearAccessed>
    <b:MonthAccessed>August</b:MonthAccessed>
    <b:DayAccessed>11</b:DayAccessed>
    <b:RefOrder>10</b:RefOrder>
  </b:Source>
  <b:Source>
    <b:Tag>EDP26</b:Tag>
    <b:SourceType>Report</b:SourceType>
    <b:Guid>{77DEAE3E-76A7-5B7C-B133-9263728D54E5}</b:Guid>
    <b:Author>
      <b:Author>
        <b:Corporate>European Data Protection Board</b:Corporate>
      </b:Author>
    </b:Author>
    <b:Title>Guidelines 02/2025 on Processing of Personal Data through Blockchain Technologies, version 2.0</b:Title>
    <b:Year>2026</b:Year>
    <b:Month>July</b:Month>
    <b:Day>7</b:Day>
    <b:Institution>European Data Protection Board</b:Institution>
    <b:URL>https://www.edpb.europa.eu/documents/guideline/guidelines-on-processing-of-personal-data-through-blockchain-technologies_en</b:URL>
    <b:YearAccessed>2026</b:YearAccessed>
    <b:MonthAccessed>August</b:MonthAccessed>
    <b:DayAccessed>11</b:DayAccessed>
    <b:RefOrder>11</b:RefOrder>
  </b:Source>
  <b:Source>
    <b:Tag>EIO22</b:Tag>
    <b:SourceType>Report</b:SourceType>
    <b:Guid>{149B8772-A21D-58B4-9248-F6A7CB93BDCD}</b:Guid>
    <b:Author>
      <b:Author>
        <b:Corporate>European Insurance and Occupational Pensions Authority</b:Corporate>
      </b:Author>
    </b:Author>
    <b:Title>Feedback Statement: Discussion Paper on Blockchain and Smart Contracts in Insurance</b:Title>
    <b:Year>2022</b:Year>
    <b:StandardNumber>EIOPA-BoS-22-178</b:StandardNumber>
    <b:URL>https://www.eiopa.europa.eu/system/files/2022-05/feedback_statement_-_discussion_paper_on_blockchain_and_smart_contracts_in_insurance.pdf</b:URL>
    <b:YearAccessed>2026</b:YearAccessed>
    <b:MonthAccessed>August</b:MonthAccessed>
    <b:DayAccessed>11</b:DayAccessed>
    <b:RefOrder>12</b:RefOrder>
  </b:Source>
  <b:Source>
    <b:Tag>EU24</b:Tag>
    <b:SourceType>Misc</b:SourceType>
    <b:Guid>{76D1C305-5B70-5D21-AC2A-98FEF443FE8F}</b:Guid>
    <b:Author>
      <b:Author>
        <b:Corporate>European Parliament and Council</b:Corporate>
      </b:Author>
    </b:Author>
    <b:Title>Regulation (EU) 2024/1689 laying down harmonised rules on artificial intelligence</b:Title>
    <b:Year>2024</b:Year>
    <b:Publisher>Official Journal of the European Union, L 2024/1689</b:Publisher>
    <b:URL>https://eur-lex.europa.eu/legal-content/EN/TXT/?uri=CELEX:32024R1689</b:URL>
    <b:YearAccessed>2026</b:YearAccessed>
    <b:MonthAccessed>August</b:MonthAccessed>
    <b:DayAccessed>11</b:DayAccessed>
    <b:RefOrder>13</b:RefOrder>
  </b:Source>
  <b:Source>
    <b:Tag>Geb21</b:Tag>
    <b:SourceType>JournalArticle</b:SourceType>
    <b:Guid>{0DD5503F-B775-5F50-B33F-01E7EDE332DA}</b:Guid>
    <b:Author>
      <b:Author>
        <b:NameList>
          <b:Person>
            <b:Last>Gebru</b:Last>
            <b:First>T.</b:First>
          </b:Person>
          <b:Person>
            <b:Last>Morgenstern</b:Last>
            <b:First>J.</b:First>
          </b:Person>
          <b:Person>
            <b:Last>Vecchione</b:Last>
            <b:First>B.</b:First>
          </b:Person>
          <b:Person>
            <b:Last>Vaughan</b:Last>
            <b:First>J.W.</b:First>
          </b:Person>
          <b:Person>
            <b:Last>Wallach</b:Last>
            <b:First>H.</b:First>
          </b:Person>
          <b:Person>
            <b:Last>Daumé III</b:Last>
            <b:First>H.</b:First>
          </b:Person>
          <b:Person>
            <b:Last>Crawford</b:Last>
            <b:First>K.</b:First>
          </b:Person>
        </b:NameList>
      </b:Author>
    </b:Author>
    <b:Title>Datasheets for datasets</b:Title>
    <b:Year>2021</b:Year>
    <b:JournalName>Communications of the ACM</b:JournalName>
    <b:Volume>64</b:Volume>
    <b:Issue>12</b:Issue>
    <b:Pages>86–92</b:Pages>
    <b:URL>https://doi.org/10.1145/3458723</b:URL>
    <b:YearAccessed>2026</b:YearAccessed>
    <b:MonthAccessed>August</b:MonthAccessed>
    <b:DayAccessed>11</b:DayAccessed>
    <b:RefOrder>14</b:RefOrder>
  </b:Source>
  <b:Source>
    <b:Tag>Her22</b:Tag>
    <b:SourceType>JournalArticle</b:SourceType>
    <b:Guid>{95958D6C-3C4C-554D-B54E-33C6D7458B68}</b:Guid>
    <b:Author>
      <b:Author>
        <b:NameList>
          <b:Person>
            <b:Last>Herm</b:Last>
            <b:First>L.-V.</b:First>
          </b:Person>
          <b:Person>
            <b:Last>Steinbach</b:Last>
            <b:First>T.</b:First>
          </b:Person>
          <b:Person>
            <b:Last>Wanner</b:Last>
            <b:First>J.</b:First>
          </b:Person>
          <b:Person>
            <b:Last>Janiesch</b:Last>
            <b:First>C.</b:First>
          </b:Person>
        </b:NameList>
      </b:Author>
    </b:Author>
    <b:Title>A nascent design theory for explainable intelligent systems</b:Title>
    <b:Year>2022</b:Year>
    <b:JournalName>Electronic Markets</b:JournalName>
    <b:Volume>32</b:Volume>
    <b:Pages>2185–2205</b:Pages>
    <b:URL>https://doi.org/10.1007/s12525-022-00606-3</b:URL>
    <b:YearAccessed>2026</b:YearAccessed>
    <b:MonthAccessed>August</b:MonthAccessed>
    <b:DayAccessed>11</b:DayAccessed>
    <b:RefOrder>15</b:RefOrder>
  </b:Source>
  <b:Source>
    <b:Tag>Hug23</b:Tag>
    <b:SourceType>JournalArticle</b:SourceType>
    <b:Guid>{5317228B-6F91-5D39-9B62-C16E62A5CB8A}</b:Guid>
    <b:Author>
      <b:Author>
        <b:NameList>
          <b:Person>
            <b:Last>Hughes</b:Last>
            <b:First>W.</b:First>
          </b:Person>
          <b:Person>
            <b:Last>Magnusson</b:Last>
            <b:First>T.</b:First>
          </b:Person>
          <b:Person>
            <b:Last>Russo</b:Last>
            <b:First>A.</b:First>
          </b:Person>
          <b:Person>
            <b:Last>Schneider</b:Last>
            <b:First>G.</b:First>
          </b:Person>
        </b:NameList>
      </b:Author>
    </b:Author>
    <b:Title>Cheap and secure metatransactions on the blockchain using hash-based authorisation and preferred batchers</b:Title>
    <b:Year>2023</b:Year>
    <b:JournalName>Blockchain: Research and Applications</b:JournalName>
    <b:Volume>4</b:Volume>
    <b:Issue>2</b:Issue>
    <b:Pages>100125</b:Pages>
    <b:URL>https://doi.org/10.1016/j.bcra.2022.100125</b:URL>
    <b:YearAccessed>2026</b:YearAccessed>
    <b:MonthAccessed>August</b:MonthAccessed>
    <b:DayAccessed>11</b:DayAccessed>
    <b:RefOrder>16</b:RefOrder>
  </b:Source>
  <b:Source>
    <b:Tag>ICO23</b:Tag>
    <b:SourceType>InternetSite</b:SourceType>
    <b:Guid>{2285DCEA-4F3D-545D-A1E7-B21C708DAE2B}</b:Guid>
    <b:Author>
      <b:Author>
        <b:Corporate>Information Commissioner’s Office</b:Corporate>
      </b:Author>
    </b:Author>
    <b:Title>Guidance on AI and Data Protection</b:Title>
    <b:Year>2023</b:Year>
    <b:Month>March</b:Month>
    <b:Day>15</b:Day>
    <b:URL>https://ico.org.uk/for-organisations/uk-gdpr-guidance-and-resources/artificial-intelligence/guidance-on-ai-and-data-protection/</b:URL>
    <b:YearAccessed>2026</b:YearAccessed>
    <b:MonthAccessed>August</b:MonthAccessed>
    <b:DayAccessed>11</b:DayAccessed>
    <b:RefOrder>17</b:RefOrder>
  </b:Source>
  <b:Source>
    <b:Tag>ICO25</b:Tag>
    <b:SourceType>InternetSite</b:SourceType>
    <b:Guid>{6AD81578-EAC0-5FAD-B669-94CFBA3DCC09}</b:Guid>
    <b:Author>
      <b:Author>
        <b:Corporate>Information Commissioner’s Office</b:Corporate>
      </b:Author>
    </b:Author>
    <b:Title>Data protection: Data (Use and Access) Act 2025—summary of changes</b:Title>
    <b:Year>2025</b:Year>
    <b:Month>June</b:Month>
    <b:Day>19</b:Day>
    <b:URL>https://ico.org.uk/about-the-ico/what-we-do/legislation-we-cover/data-use-and-access-act-2025/the-data-use-and-access-act-2025-duaa-summary-of-the-changes/data-protection/</b:URL>
    <b:YearAccessed>2026</b:YearAccessed>
    <b:MonthAccessed>August</b:MonthAccessed>
    <b:DayAccessed>21</b:DayAccessed>
    <b:RefOrder>18</b:RefOrder>
  </b:Source>
  <b:Source>
    <b:Tag>Jen24</b:Tag>
    <b:SourceType>JournalArticle</b:SourceType>
    <b:Guid>{6FC56AE8-0D42-5E03-989E-86A99637C203}</b:Guid>
    <b:Author>
      <b:Author>
        <b:NameList>
          <b:Person>
            <b:Last>Jena</b:Last>
            <b:First>Sanjay Kumar</b:First>
          </b:Person>
          <b:Person>
            <b:Last>Kumar</b:Last>
            <b:First>Brajesh</b:First>
          </b:Person>
          <b:Person>
            <b:Last>Mohanty</b:Last>
            <b:First>Barunaditya</b:First>
          </b:Person>
          <b:Person>
            <b:Last>Singhal</b:Last>
            <b:First>Ayush</b:First>
          </b:Person>
          <b:Person>
            <b:Last>Barik</b:Last>
            <b:First>Ram Chandra</b:First>
          </b:Person>
        </b:NameList>
      </b:Author>
    </b:Author>
    <b:Title>An advanced blockchain-based hyperledger fabric solution for tracing fraudulent claims in the healthcare industry</b:Title>
    <b:Year>2024</b:Year>
    <b:JournalName>Data and Information Management</b:JournalName>
    <b:Volume>8</b:Volume>
    <b:Issue>2</b:Issue>
    <b:Pages>100411</b:Pages>
    <b:URL>https://doi.org/10.1016/j.dajour.2024.100411</b:URL>
    <b:YearAccessed>2026</b:YearAccessed>
    <b:MonthAccessed>August</b:MonthAccessed>
    <b:DayAccessed>11</b:DayAccessed>
    <b:RefOrder>19</b:RefOrder>
  </b:Source>
  <b:Source>
    <b:Tag>Kap23</b:Tag>
    <b:SourceType>JournalArticle</b:SourceType>
    <b:Guid>{5D9DF1C4-C59C-5B22-BFA7-8AD0D71782A4}</b:Guid>
    <b:Author>
      <b:Author>
        <b:NameList>
          <b:Person>
            <b:Last>Kapoor</b:Last>
            <b:First>S.</b:First>
          </b:Person>
          <b:Person>
            <b:Last>Narayanan</b:Last>
            <b:First>A.</b:First>
          </b:Person>
        </b:NameList>
      </b:Author>
    </b:Author>
    <b:Title>Leakage and the reproducibility crisis in machine-learning-based science</b:Title>
    <b:Year>2023</b:Year>
    <b:JournalName>Patterns</b:JournalName>
    <b:Volume>4</b:Volume>
    <b:Issue>9</b:Issue>
    <b:Pages>100804</b:Pages>
    <b:URL>https://doi.org/10.1016/j.patter.2023.100804</b:URL>
    <b:YearAccessed>2026</b:YearAccessed>
    <b:MonthAccessed>August</b:MonthAccessed>
    <b:DayAccessed>11</b:DayAccessed>
    <b:RefOrder>20</b:RefOrder>
  </b:Source>
  <b:Source>
    <b:Tag>Lan22</b:Tag>
    <b:SourceType>JournalArticle</b:SourceType>
    <b:Guid>{BEC1C970-EF7F-5FAD-8813-051CC2B8FE5E}</b:Guid>
    <b:Author>
      <b:Author>
        <b:NameList>
          <b:Person>
            <b:Last>Landwehr</b:Last>
            <b:First>J.P.</b:First>
          </b:Person>
          <b:Person>
            <b:Last>Kühl</b:Last>
            <b:First>N.</b:First>
          </b:Person>
          <b:Person>
            <b:Last>Walk</b:Last>
            <b:First>J.</b:First>
          </b:Person>
          <b:Person>
            <b:Last>Gnädig</b:Last>
            <b:First>M.</b:First>
          </b:Person>
        </b:NameList>
      </b:Author>
    </b:Author>
    <b:Title>Design knowledge for deep-learning-enabled image-based decision support systems: evidence from power line maintenance decision-making</b:Title>
    <b:Year>2022</b:Year>
    <b:JournalName>Business &amp; Information Systems Engineering</b:JournalName>
    <b:Volume>64</b:Volume>
    <b:Pages>707–728</b:Pages>
    <b:URL>https://doi.org/10.1007/s12599-022-00745-z</b:URL>
    <b:YearAccessed>2026</b:YearAccessed>
    <b:MonthAccessed>August</b:MonthAccessed>
    <b:DayAccessed>11</b:DayAccessed>
    <b:RefOrder>21</b:RefOrder>
  </b:Source>
  <b:Source>
    <b:Tag>Mit21</b:Tag>
    <b:SourceType>JournalArticle</b:SourceType>
    <b:Guid>{2FB959D8-4163-5888-8B98-060AC138A511}</b:Guid>
    <b:Author>
      <b:Author>
        <b:NameList>
          <b:Person>
            <b:Last>Mitchell</b:Last>
            <b:First>Shira</b:First>
          </b:Person>
          <b:Person>
            <b:Last>Potash</b:Last>
            <b:First>Eric</b:First>
          </b:Person>
          <b:Person>
            <b:Last>Barocas</b:Last>
            <b:First>Solon</b:First>
          </b:Person>
          <b:Person>
            <b:Last>D’Amour</b:Last>
            <b:First>Alexander</b:First>
          </b:Person>
          <b:Person>
            <b:Last>Lum</b:Last>
            <b:First>Kristian</b:First>
          </b:Person>
        </b:NameList>
      </b:Author>
    </b:Author>
    <b:Title>Algorithmic Fairness: Choices, Assumptions, and Definitions</b:Title>
    <b:Year>2021</b:Year>
    <b:JournalName>Annual Review of Statistics and Its Application</b:JournalName>
    <b:Volume>8</b:Volume>
    <b:Pages>141–163</b:Pages>
    <b:URL>https://doi.org/10.1146/annurev-statistics-042720-125902</b:URL>
    <b:YearAccessed>2026</b:YearAccessed>
    <b:MonthAccessed>August</b:MonthAccessed>
    <b:DayAccessed>11</b:DayAccessed>
    <b:RefOrder>22</b:RefOrder>
  </b:Source>
  <b:Source>
    <b:Tag>Pfo22</b:Tag>
    <b:SourceType>JournalArticle</b:SourceType>
    <b:Guid>{59B25620-E4C7-51BB-971D-E038DC96431E}</b:Guid>
    <b:Author>
      <b:Author>
        <b:NameList>
          <b:Person>
            <b:Last>Pfob</b:Last>
            <b:First>André</b:First>
          </b:Person>
          <b:Person>
            <b:Last>Lu</b:Last>
            <b:First>Sheng-Chieh</b:First>
          </b:Person>
          <b:Person>
            <b:Last>Sidey-Gibbons</b:Last>
            <b:First>Chris</b:First>
          </b:Person>
        </b:NameList>
      </b:Author>
    </b:Author>
    <b:Title>Machine learning in medicine: a practical introduction to techniques for data pre-processing, hyperparameter tuning, and model comparison</b:Title>
    <b:Year>2022</b:Year>
    <b:JournalName>BMC Medical Research Methodology</b:JournalName>
    <b:Volume>22</b:Volume>
    <b:Pages>282</b:Pages>
    <b:URL>https://doi.org/10.1186/s12874-022-01758-8</b:URL>
    <b:YearAccessed>2026</b:YearAccessed>
    <b:MonthAccessed>August</b:MonthAccessed>
    <b:DayAccessed>11</b:DayAccessed>
    <b:RefOrder>24</b:RefOrder>
  </b:Source>
  <b:Source>
    <b:Tag>Phi21</b:Tag>
    <b:SourceType>Report</b:SourceType>
    <b:Guid>{2424A0D1-FF68-5C2C-8961-4B6269066A0C}</b:Guid>
    <b:Author>
      <b:Author>
        <b:NameList>
          <b:Person>
            <b:Last>Phillips</b:Last>
            <b:First>P.J.</b:First>
          </b:Person>
          <b:Person>
            <b:Last>Hahn</b:Last>
            <b:First>C.A.</b:First>
          </b:Person>
          <b:Person>
            <b:Last>Fontana</b:Last>
            <b:First>P.C.</b:First>
          </b:Person>
          <b:Person>
            <b:Last>Yates</b:Last>
            <b:First>A.N.</b:First>
          </b:Person>
          <b:Person>
            <b:Last>Greene</b:Last>
            <b:First>K.</b:First>
          </b:Person>
          <b:Person>
            <b:Last>Broniatowski</b:Last>
            <b:First>D.A.</b:First>
          </b:Person>
          <b:Person>
            <b:Last>Przybocki</b:Last>
            <b:First>M.A.</b:First>
          </b:Person>
        </b:NameList>
      </b:Author>
    </b:Author>
    <b:Title>Four Principles of Explainable Artificial Intelligence</b:Title>
    <b:Year>2021</b:Year>
    <b:Institution>National Institute of Standards and Technology</b:Institution>
    <b:StandardNumber>NISTIR 8312</b:StandardNumber>
    <b:URL>https://doi.org/10.6028/NIST.IR.8312</b:URL>
    <b:YearAccessed>2026</b:YearAccessed>
    <b:MonthAccessed>August</b:MonthAccessed>
    <b:DayAccessed>11</b:DayAccessed>
    <b:RefOrder>25</b:RefOrder>
  </b:Source>
  <b:Source>
    <b:Tag>Pin21</b:Tag>
    <b:SourceType>JournalArticle</b:SourceType>
    <b:Guid>{3E8AFAB0-35EC-58F2-AE4D-25A25AA4F2F5}</b:Guid>
    <b:Author>
      <b:Author>
        <b:NameList>
          <b:Person>
            <b:Last>Pineau</b:Last>
            <b:First>Joelle</b:First>
          </b:Person>
          <b:Person>
            <b:Last>Vincent-Lamarre</b:Last>
            <b:First>Philippe</b:First>
          </b:Person>
          <b:Person>
            <b:Last>Sinha</b:Last>
            <b:First>Koustuv</b:First>
          </b:Person>
          <b:Person>
            <b:Last>Larivière</b:Last>
            <b:First>Vincent</b:First>
          </b:Person>
          <b:Person>
            <b:Last>Beygelzimer</b:Last>
            <b:First>Alina</b:First>
          </b:Person>
          <b:Person>
            <b:Last>d’Alché-Buc</b:Last>
            <b:First>Florence</b:First>
          </b:Person>
          <b:Person>
            <b:Last>Fox</b:Last>
            <b:First>Emily</b:First>
          </b:Person>
          <b:Person>
            <b:Last>Larochelle</b:Last>
            <b:First>Hugo</b:First>
          </b:Person>
        </b:NameList>
      </b:Author>
    </b:Author>
    <b:Title>Improving reproducibility in machine learning research: a report from the NeurIPS 2019 reproducibility program</b:Title>
    <b:Year>2021</b:Year>
    <b:JournalName>Journal of Machine Learning Research</b:JournalName>
    <b:Volume>22</b:Volume>
    <b:Issue>164</b:Issue>
    <b:Pages>1–20</b:Pages>
    <b:URL>https://www.jmlr.org/papers/v22/20-303.html</b:URL>
    <b:YearAccessed>2026</b:YearAccessed>
    <b:MonthAccessed>August</b:MonthAccessed>
    <b:DayAccessed>11</b:DayAccessed>
    <b:RefOrder>26</b:RefOrder>
  </b:Source>
  <b:Source>
    <b:Tag>Sch24</b:Tag>
    <b:SourceType>JournalArticle</b:SourceType>
    <b:Guid>{99EAF142-0EE5-51EE-93FF-67F629C57B0B}</b:Guid>
    <b:Author>
      <b:Author>
        <b:NameList>
          <b:Person>
            <b:Last>Schrijver</b:Last>
            <b:First>G.</b:First>
          </b:Person>
          <b:Person>
            <b:Last>Sarmah</b:Last>
            <b:First>D.K.</b:First>
          </b:Person>
          <b:Person>
            <b:Last>El-Hajj</b:Last>
            <b:First>M.</b:First>
          </b:Person>
        </b:NameList>
      </b:Author>
    </b:Author>
    <b:Title>Automobile insurance fraud detection using data mining: A systematic literature review</b:Title>
    <b:Year>2024</b:Year>
    <b:JournalName>Intelligent Systems with Applications</b:JournalName>
    <b:Volume>21</b:Volume>
    <b:Pages>200340</b:Pages>
    <b:URL>https://doi.org/10.1016/j.iswa.2024.200340</b:URL>
    <b:YearAccessed>2026</b:YearAccessed>
    <b:MonthAccessed>August</b:MonthAccessed>
    <b:DayAccessed>11</b:DayAccessed>
    <b:RefOrder>27</b:RefOrder>
  </b:Source>
  <b:Source>
    <b:Tag>Shi24</b:Tag>
    <b:SourceType>JournalArticle</b:SourceType>
    <b:Guid>{C5757129-FDE6-501D-8AC7-60DFBBE003FC}</b:Guid>
    <b:Author>
      <b:Author>
        <b:NameList>
          <b:Person>
            <b:Last>Shibano</b:Last>
            <b:First>Kyohei</b:First>
          </b:Person>
          <b:Person>
            <b:Last>Ito</b:Last>
            <b:First>Kensuke</b:First>
          </b:Person>
          <b:Person>
            <b:Last>Han</b:Last>
            <b:First>Changhee</b:First>
          </b:Person>
          <b:Person>
            <b:Last>Chu</b:Last>
            <b:First>Tsz Tat</b:First>
          </b:Person>
          <b:Person>
            <b:Last>Ozaki</b:Last>
            <b:First>Wataru</b:First>
          </b:Person>
          <b:Person>
            <b:Last>Mogi</b:Last>
            <b:First>Gento</b:First>
          </b:Person>
        </b:NameList>
      </b:Author>
    </b:Author>
    <b:Title>Secure Processing and Distribution of Data Managed on Private InterPlanetary File System Using Zero-Knowledge Proofs</b:Title>
    <b:Year>2024</b:Year>
    <b:JournalName>Electronics</b:JournalName>
    <b:Volume>13</b:Volume>
    <b:Issue>15</b:Issue>
    <b:Pages>3025</b:Pages>
    <b:URL>https://doi.org/10.3390/electronics13153025</b:URL>
    <b:YearAccessed>2026</b:YearAccessed>
    <b:MonthAccessed>August</b:MonthAccessed>
    <b:DayAccessed>11</b:DayAccessed>
    <b:RefOrder>28</b:RefOrder>
  </b:Source>
  <b:Source>
    <b:Tag>Sou22</b:Tag>
    <b:SourceType>Report</b:SourceType>
    <b:Guid>{53C0611E-6D81-5117-A033-260711FE4391}</b:Guid>
    <b:Author>
      <b:Author>
        <b:NameList>
          <b:Person>
            <b:Last>Souppaya</b:Last>
            <b:First>M.</b:First>
          </b:Person>
          <b:Person>
            <b:Last>Scarfone</b:Last>
            <b:First>K.</b:First>
          </b:Person>
          <b:Person>
            <b:Last>Dodson</b:Last>
            <b:First>D.</b:First>
          </b:Person>
        </b:NameList>
      </b:Author>
    </b:Author>
    <b:Title>Secure Software Development Framework (SSDF) Version 1.1: Recommendations for Mitigating the Risk of Software Vulnerabilities</b:Title>
    <b:Year>2022</b:Year>
    <b:Institution>National Institute of Standards and Technology</b:Institution>
    <b:StandardNumber>NIST SP 800-218</b:StandardNumber>
    <b:URL>https://doi.org/10.6028/NIST.SP.800-218</b:URL>
    <b:YearAccessed>2026</b:YearAccessed>
    <b:MonthAccessed>August</b:MonthAccessed>
    <b:DayAccessed>11</b:DayAccessed>
    <b:RefOrder>29</b:RefOrder>
  </b:Source>
  <b:Source>
    <b:Tag>Sta22</b:Tag>
    <b:SourceType>ConferenceProceedings</b:SourceType>
    <b:Guid>{CEB3BDE9-2B86-5E95-A64F-528B5B4B0F12}</b:Guid>
    <b:Author>
      <b:Author>
        <b:NameList>
          <b:Person>
            <b:Last>Stadler</b:Last>
            <b:First>T.</b:First>
          </b:Person>
          <b:Person>
            <b:Last>Oprisanu</b:Last>
            <b:First>B.</b:First>
          </b:Person>
          <b:Person>
            <b:Last>Troncoso</b:Last>
            <b:First>C.</b:First>
          </b:Person>
        </b:NameList>
      </b:Author>
    </b:Author>
    <b:Title>Synthetic data—anonymisation groundhog day</b:Title>
    <b:Year>2022</b:Year>
    <b:ConferenceName>31st USENIX Security Symposium</b:ConferenceName>
    <b:Pages>1451–1468</b:Pages>
    <b:URL>https://www.usenix.org/conference/usenixsecurity22/presentation/stadler</b:URL>
    <b:YearAccessed>2026</b:YearAccessed>
    <b:MonthAccessed>August</b:MonthAccessed>
    <b:DayAccessed>11</b:DayAccessed>
    <b:RefOrder>30</b:RefOrder>
  </b:Source>
  <b:Source>
    <b:Tag>Tab23</b:Tag>
    <b:SourceType>Report</b:SourceType>
    <b:Guid>{B919ECC8-2F56-5073-93C9-D8DC56175C56}</b:Guid>
    <b:Author>
      <b:Author>
        <b:NameList>
          <b:Person>
            <b:Last>Tabassi</b:Last>
            <b:First>E.</b:First>
          </b:Person>
        </b:NameList>
      </b:Author>
    </b:Author>
    <b:Title>Artificial Intelligence Risk Management Framework (AI RMF 1.0)</b:Title>
    <b:Year>2023</b:Year>
    <b:Institution>National Institute of Standards and Technology</b:Institution>
    <b:StandardNumber>NIST AI 100-1</b:StandardNumber>
    <b:URL>https://doi.org/10.6028/NIST.AI.100-1</b:URL>
    <b:YearAccessed>2026</b:YearAccessed>
    <b:MonthAccessed>August</b:MonthAccessed>
    <b:DayAccessed>11</b:DayAccessed>
    <b:RefOrder>31</b:RefOrder>
  </b:Source>
  <b:Source>
    <b:Tag>Tra22</b:Tag>
    <b:SourceType>ConferenceProceedings</b:SourceType>
    <b:Guid>{D7E09836-55DC-5D0F-991E-9B44826E6E6F}</b:Guid>
    <b:Author>
      <b:Author>
        <b:NameList>
          <b:Person>
            <b:Last>Trautwein</b:Last>
            <b:First>Dennis</b:First>
          </b:Person>
          <b:Person>
            <b:Last>Raman</b:Last>
            <b:First>Aravindh</b:First>
          </b:Person>
          <b:Person>
            <b:Last>Tyson</b:Last>
            <b:First>Gareth</b:First>
          </b:Person>
          <b:Person>
            <b:Last>Castro</b:Last>
            <b:First>Ignacio</b:First>
          </b:Person>
          <b:Person>
            <b:Last>Scott</b:Last>
            <b:First>Will</b:First>
          </b:Person>
          <b:Person>
            <b:Last>Schubotz</b:Last>
            <b:First>Moritz</b:First>
          </b:Person>
          <b:Person>
            <b:Last>Gipp</b:Last>
            <b:First>Bela</b:First>
          </b:Person>
          <b:Person>
            <b:Last>Psaras</b:Last>
            <b:First>Yiannis</b:First>
          </b:Person>
        </b:NameList>
      </b:Author>
    </b:Author>
    <b:Title>Design and evaluation of IPFS: a storage layer for the decentralized web</b:Title>
    <b:Year>2022</b:Year>
    <b:ConferenceName>Proceedings of ACM SIGCOMM 2022</b:ConferenceName>
    <b:Pages>739–752</b:Pages>
    <b:URL>https://doi.org/10.1145/3544216.3544232</b:URL>
    <b:YearAccessed>2026</b:YearAccessed>
    <b:MonthAccessed>August</b:MonthAccessed>
    <b:DayAccessed>11</b:DayAccessed>
    <b:RefOrder>32</b:RefOrder>
  </b:Source>
  <b:Source>
    <b:Tag>Was24</b:Tag>
    <b:SourceType>Book</b:SourceType>
    <b:Guid>{F23036EF-0607-5F8D-926A-55CD4746E801}</b:Guid>
    <b:Author>
      <b:Author>
        <b:NameList>
          <b:Person>
            <b:Last>Washizaki</b:Last>
            <b:First>Hironori</b:First>
          </b:Person>
        </b:NameList>
      </b:Author>
    </b:Author>
    <b:Title>Guide to the Software Engineering Body of Knowledge (SWEBOK Guide), Version 4.0a</b:Title>
    <b:Year>2026</b:Year>
    <b:Publisher>IEEE Computer Society</b:Publisher>
    <b:URL>https://ieeecs-media.computer.org/media/education/swebok/swebok-v4.pdf</b:URL>
    <b:YearAccessed>2026</b:YearAccessed>
    <b:MonthAccessed>August</b:MonthAccessed>
    <b:DayAccessed>21</b:DayAccessed>
    <b:RefOrder>33</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58</Pages>
  <Words>16163</Words>
  <Characters>92132</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A Decentralised Claims Registry for AI-Ready Insurance Fraud Detection</vt:lpstr>
    </vt:vector>
  </TitlesOfParts>
  <Manager/>
  <Company/>
  <LinksUpToDate>false</LinksUpToDate>
  <CharactersWithSpaces>108079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Decentralised Claims Registry for AI-Ready Insurance Fraud Detection</dc:title>
  <dc:subject>MSc Computer Science dissertation</dc:subject>
  <dc:creator>Ganesh Oli</dc:creator>
  <cp:keywords>insurance fraud; blockchain; machine learning; event-driven architecture; explainable AI</cp:keywords>
  <dc:description>Evidence-audited V3 based on the project repository and reproducibility review.</dc:description>
  <cp:lastModifiedBy>Ganesh OLI</cp:lastModifiedBy>
  <cp:revision>17</cp:revision>
  <cp:lastPrinted>2026-08-14T15:05:00Z</cp:lastPrinted>
  <dcterms:created xsi:type="dcterms:W3CDTF">2026-08-14T15:05:00Z</dcterms:created>
  <dcterms:modified xsi:type="dcterms:W3CDTF">2026-08-21T17:52:00Z</dcterms:modified>
  <cp:category/>
</cp:coreProperties>
</file>