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Style BRD - SLA Dashboard</w:t>
      </w:r>
    </w:p>
    <w:p>
      <w:pPr>
        <w:pStyle w:val="Heading2"/>
      </w:pPr>
      <w:r>
        <w:t>Business Overview</w:t>
      </w:r>
    </w:p>
    <w:p>
      <w:r>
        <w:t>Dashboard to monitor SLA compliance and ticket performance.</w:t>
      </w:r>
    </w:p>
    <w:p>
      <w:pPr>
        <w:pStyle w:val="Heading2"/>
      </w:pPr>
      <w:r>
        <w:t>Stakeholders</w:t>
      </w:r>
    </w:p>
    <w:p>
      <w:pPr>
        <w:pStyle w:val="ListBullet"/>
      </w:pPr>
      <w:r>
        <w:t>Service Desk</w:t>
      </w:r>
    </w:p>
    <w:p>
      <w:pPr>
        <w:pStyle w:val="ListBullet"/>
      </w:pPr>
      <w:r>
        <w:t>Operations Manager</w:t>
      </w:r>
    </w:p>
    <w:p>
      <w:pPr>
        <w:pStyle w:val="ListBullet"/>
      </w:pPr>
      <w:r>
        <w:t>IT Team</w:t>
      </w:r>
    </w:p>
    <w:p>
      <w:pPr>
        <w:pStyle w:val="ListBullet"/>
      </w:pPr>
      <w:r>
        <w:t>Management</w:t>
      </w:r>
    </w:p>
    <w:p>
      <w:pPr>
        <w:pStyle w:val="Heading2"/>
      </w:pPr>
      <w:r>
        <w:t>Business Requirements</w:t>
      </w:r>
    </w:p>
    <w:p>
      <w:pPr>
        <w:pStyle w:val="ListBullet"/>
      </w:pPr>
      <w:r>
        <w:t>Display SLA compliance rate.</w:t>
      </w:r>
    </w:p>
    <w:p>
      <w:pPr>
        <w:pStyle w:val="ListBullet"/>
      </w:pPr>
      <w:r>
        <w:t>Provide ticket resolution trend analysis.</w:t>
      </w:r>
    </w:p>
    <w:p>
      <w:pPr>
        <w:pStyle w:val="ListBullet"/>
      </w:pPr>
      <w:r>
        <w:t>Allow dashboard filtering.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