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KPI Definition Document - SLA Dashboard</w:t>
      </w:r>
    </w:p>
    <w:p>
      <w:pPr>
        <w:pStyle w:val="Heading2"/>
      </w:pPr>
      <w:r>
        <w:t>KPI Definitions</w:t>
      </w:r>
    </w:p>
    <w:p>
      <w:r>
        <w:t>SLA Compliance Rate – Percentage of tickets resolved within SLA.</w:t>
      </w:r>
    </w:p>
    <w:p>
      <w:r>
        <w:t>Average Resolution Time – Average time taken to resolve tickets.</w:t>
      </w:r>
    </w:p>
    <w:p>
      <w:r>
        <w:t>Priority SLA Performance – SLA performance by priority level.</w:t>
      </w:r>
    </w:p>
    <w:p>
      <w:r>
        <w:t>Overdue Tickets – Tickets exceeding SLA timeline.</w:t>
      </w:r>
    </w:p>
    <w:p>
      <w:pPr>
        <w:pStyle w:val="Heading2"/>
      </w:pPr>
      <w:r>
        <w:t>KPI Usage</w:t>
      </w:r>
    </w:p>
    <w:p>
      <w:r>
        <w:t>Monitor service performance.</w:t>
      </w:r>
    </w:p>
    <w:p>
      <w:r>
        <w:t>Identify delays.</w:t>
      </w:r>
    </w:p>
    <w:p>
      <w:r>
        <w:t>Support business decision 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