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before="0"/>
        <w:jc w:val="center"/>
      </w:pPr>
      <w:r>
        <w:rPr>
          <w:rFonts w:ascii="Arial" w:cs="Arial" w:eastAsia="Arial" w:hAnsi="Arial"/>
          <w:b/>
          <w:bCs/>
          <w:sz w:val="26"/>
          <w:szCs w:val="26"/>
        </w:rPr>
        <w:t xml:space="preserve">Ideation Phase</w:t>
      </w:r>
    </w:p>
    <w:p>
      <w:pPr>
        <w:spacing w:after="160" w:before="0"/>
        <w:jc w:val="center"/>
      </w:pPr>
      <w:r>
        <w:rPr>
          <w:rFonts w:ascii="Arial" w:cs="Arial" w:eastAsia="Arial" w:hAnsi="Arial"/>
          <w:b/>
          <w:bCs/>
          <w:sz w:val="22"/>
          <w:szCs w:val="22"/>
        </w:rPr>
        <w:t xml:space="preserve">Empathize &amp; Discover</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tblGrid>
      <w:tr>
        <w:tc>
          <w:tcPr>
            <w:tcW w:type="dxa" w:w="21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r>
              <w:rPr>
                <w:rFonts w:ascii="Arial" w:cs="Arial" w:eastAsia="Arial" w:hAnsi="Arial"/>
                <w:sz w:val="18"/>
                <w:szCs w:val="18"/>
              </w:rPr>
              <w:t xml:space="preserve">Date</w:t>
            </w:r>
          </w:p>
        </w:tc>
        <w:tc>
          <w:tcPr>
            <w:tcW w:type="dxa" w:w="39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r>
              <w:rPr>
                <w:rFonts w:ascii="Arial" w:cs="Arial" w:eastAsia="Arial" w:hAnsi="Arial"/>
                <w:sz w:val="18"/>
                <w:szCs w:val="18"/>
              </w:rPr>
              <w:t xml:space="preserve">25 August 2026</w:t>
            </w:r>
          </w:p>
        </w:tc>
      </w:tr>
      <w:tr>
        <w:tc>
          <w:tcPr>
            <w:tcW w:type="dxa" w:w="21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r>
              <w:rPr>
                <w:rFonts w:ascii="Arial" w:cs="Arial" w:eastAsia="Arial" w:hAnsi="Arial"/>
                <w:sz w:val="18"/>
                <w:szCs w:val="18"/>
              </w:rPr>
              <w:t xml:space="preserve">Team ID</w:t>
            </w:r>
          </w:p>
        </w:tc>
        <w:tc>
          <w:tcPr>
            <w:tcW w:type="dxa" w:w="39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r>
              <w:rPr>
                <w:rFonts w:ascii="Arial" w:cs="Arial" w:eastAsia="Arial" w:hAnsi="Arial"/>
                <w:sz w:val="18"/>
                <w:szCs w:val="18"/>
              </w:rPr>
              <w:t xml:space="preserve">N/A</w:t>
            </w:r>
          </w:p>
        </w:tc>
      </w:tr>
      <w:tr>
        <w:tc>
          <w:tcPr>
            <w:tcW w:type="dxa" w:w="21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r>
              <w:rPr>
                <w:rFonts w:ascii="Arial" w:cs="Arial" w:eastAsia="Arial" w:hAnsi="Arial"/>
                <w:sz w:val="18"/>
                <w:szCs w:val="18"/>
              </w:rPr>
              <w:t xml:space="preserve">Project Name</w:t>
            </w:r>
          </w:p>
        </w:tc>
        <w:tc>
          <w:tcPr>
            <w:tcW w:type="dxa" w:w="39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r>
              <w:rPr>
                <w:rFonts w:ascii="Arial" w:cs="Arial" w:eastAsia="Arial" w:hAnsi="Arial"/>
                <w:sz w:val="18"/>
                <w:szCs w:val="18"/>
              </w:rPr>
              <w:t xml:space="preserve">HouseHunt</w:t>
            </w:r>
          </w:p>
        </w:tc>
      </w:tr>
      <w:tr>
        <w:tc>
          <w:tcPr>
            <w:tcW w:type="dxa" w:w="21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r>
              <w:rPr>
                <w:rFonts w:ascii="Arial" w:cs="Arial" w:eastAsia="Arial" w:hAnsi="Arial"/>
                <w:sz w:val="18"/>
                <w:szCs w:val="18"/>
              </w:rPr>
              <w:t xml:space="preserve">Maximum Marks</w:t>
            </w:r>
          </w:p>
        </w:tc>
        <w:tc>
          <w:tcPr>
            <w:tcW w:type="dxa" w:w="3900"/>
            <w:tcBorders>
              <w:top w:val="single" w:color="7F7F7F" w:sz="4"/>
              <w:left w:val="single" w:color="7F7F7F" w:sz="4"/>
              <w:bottom w:val="single" w:color="7F7F7F" w:sz="4"/>
              <w:right w:val="single" w:color="7F7F7F" w:sz="4"/>
            </w:tcBorders>
            <w:tcMar>
              <w:top w:type="dxa" w:w="45"/>
              <w:left w:type="dxa" w:w="90"/>
              <w:bottom w:type="dxa" w:w="45"/>
              <w:right w:type="dxa" w:w="90"/>
            </w:tcMar>
            <w:vAlign w:val="center"/>
          </w:tcPr>
          <w:p>
            <w:pPr>
              <w:spacing w:after="0" w:before="0" w:line="240"/>
            </w:pPr>
            <w:r>
              <w:rPr>
                <w:rFonts w:ascii="Arial" w:cs="Arial" w:eastAsia="Arial" w:hAnsi="Arial"/>
                <w:sz w:val="18"/>
                <w:szCs w:val="18"/>
              </w:rPr>
              <w:t xml:space="preserve">4 Marks</w:t>
            </w:r>
          </w:p>
        </w:tc>
      </w:tr>
    </w:tbl>
    <w:p>
      <w:pPr>
        <w:spacing w:after="100" w:before="0"/>
      </w:pPr>
    </w:p>
    <w:p>
      <w:pPr>
        <w:keepNext/>
        <w:spacing w:after="60" w:before="120" w:line="252"/>
      </w:pPr>
      <w:r>
        <w:rPr>
          <w:rFonts w:ascii="Arial" w:cs="Arial" w:eastAsia="Arial" w:hAnsi="Arial"/>
          <w:b/>
          <w:bCs/>
          <w:sz w:val="20"/>
          <w:szCs w:val="20"/>
        </w:rPr>
        <w:t xml:space="preserve">Empathy Map Canvas:</w:t>
      </w:r>
    </w:p>
    <w:p>
      <w:pPr>
        <w:spacing w:after="80" w:before="0" w:line="252"/>
      </w:pPr>
      <w:r>
        <w:rPr>
          <w:rFonts w:ascii="Arial" w:cs="Arial" w:eastAsia="Arial" w:hAnsi="Arial"/>
          <w:sz w:val="18"/>
          <w:szCs w:val="18"/>
        </w:rPr>
        <w:t xml:space="preserve">An Empathy Map is a user-centred tool that helps the team understand the thoughts, feelings, needs, and challenges of the people who will use HouseHunt. It helps the team see the rental market from the tenant's and the landlord's point of view, so the platform solves real problems rather than assumed ones.</w:t>
      </w:r>
    </w:p>
    <w:p>
      <w:pPr>
        <w:keepNext/>
        <w:spacing w:after="60" w:before="120" w:line="252"/>
      </w:pPr>
      <w:r>
        <w:rPr>
          <w:rFonts w:ascii="Arial" w:cs="Arial" w:eastAsia="Arial" w:hAnsi="Arial"/>
          <w:b/>
          <w:bCs/>
          <w:sz w:val="20"/>
          <w:szCs w:val="20"/>
        </w:rPr>
        <w:t xml:space="preserve">Empathy Map – Primary User: Tenant (looking for a rental home in India)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7F7F7F" w:sz="4"/>
              <w:left w:val="single" w:color="7F7F7F" w:sz="4"/>
              <w:bottom w:val="single" w:color="7F7F7F" w:sz="4"/>
              <w:right w:val="single" w:color="7F7F7F" w:sz="4"/>
            </w:tcBorders>
            <w:shd w:fill="2F5597" w:color="auto" w:val="clear"/>
            <w:tcMar>
              <w:top w:type="dxa" w:w="80"/>
              <w:left w:type="dxa" w:w="90"/>
              <w:bottom w:type="dxa" w:w="80"/>
              <w:right w:type="dxa" w:w="90"/>
            </w:tcMar>
            <w:vAlign w:val="center"/>
          </w:tcPr>
          <w:p>
            <w:pPr>
              <w:spacing w:after="0" w:before="0" w:line="240"/>
            </w:pPr>
            <w:r>
              <w:rPr>
                <w:rFonts w:ascii="Arial" w:cs="Arial" w:eastAsia="Arial" w:hAnsi="Arial"/>
                <w:b/>
                <w:bCs/>
                <w:color w:val="FFFFFF"/>
                <w:sz w:val="19"/>
                <w:szCs w:val="19"/>
              </w:rPr>
              <w:t xml:space="preserve">SEES</w:t>
            </w:r>
          </w:p>
        </w:tc>
        <w:tc>
          <w:tcPr>
            <w:tcW w:type="dxa" w:w="7906"/>
            <w:tcBorders>
              <w:top w:val="single" w:color="7F7F7F" w:sz="4"/>
              <w:left w:val="single" w:color="7F7F7F" w:sz="4"/>
              <w:bottom w:val="single" w:color="7F7F7F" w:sz="4"/>
              <w:right w:val="single" w:color="7F7F7F" w:sz="4"/>
            </w:tcBorders>
            <w:tcMar>
              <w:top w:type="dxa" w:w="80"/>
              <w:left w:type="dxa" w:w="90"/>
              <w:bottom w:type="dxa" w:w="80"/>
              <w:right w:type="dxa" w:w="90"/>
            </w:tcMar>
            <w:vAlign w:val="center"/>
          </w:tcPr>
          <w:p>
            <w:pPr>
              <w:spacing w:after="0" w:before="0" w:line="240"/>
            </w:pPr>
            <w:r>
              <w:rPr>
                <w:rFonts w:ascii="Arial" w:cs="Arial" w:eastAsia="Arial" w:hAnsi="Arial"/>
                <w:sz w:val="19"/>
                <w:szCs w:val="19"/>
              </w:rPr>
              <w:t xml:space="preserve">Scattered broker ads and classifieds; listings that cannot be verified; unclear prices and hidden fees; photos that may not match the real property.</w:t>
            </w:r>
          </w:p>
        </w:tc>
      </w:tr>
      <w:tr>
        <w:trPr>
          <w:cantSplit/>
        </w:trPr>
        <w:tc>
          <w:tcPr>
            <w:tcW w:type="dxa" w:w="2000"/>
            <w:tcBorders>
              <w:top w:val="single" w:color="7F7F7F" w:sz="4"/>
              <w:left w:val="single" w:color="7F7F7F" w:sz="4"/>
              <w:bottom w:val="single" w:color="7F7F7F" w:sz="4"/>
              <w:right w:val="single" w:color="7F7F7F" w:sz="4"/>
            </w:tcBorders>
            <w:shd w:fill="2F5597" w:color="auto" w:val="clear"/>
            <w:tcMar>
              <w:top w:type="dxa" w:w="80"/>
              <w:left w:type="dxa" w:w="90"/>
              <w:bottom w:type="dxa" w:w="80"/>
              <w:right w:type="dxa" w:w="90"/>
            </w:tcMar>
            <w:vAlign w:val="center"/>
          </w:tcPr>
          <w:p>
            <w:pPr>
              <w:spacing w:after="0" w:before="0" w:line="240"/>
            </w:pPr>
            <w:r>
              <w:rPr>
                <w:rFonts w:ascii="Arial" w:cs="Arial" w:eastAsia="Arial" w:hAnsi="Arial"/>
                <w:b/>
                <w:bCs/>
                <w:color w:val="FFFFFF"/>
                <w:sz w:val="19"/>
                <w:szCs w:val="19"/>
              </w:rPr>
              <w:t xml:space="preserve">HEARS</w:t>
            </w:r>
          </w:p>
        </w:tc>
        <w:tc>
          <w:tcPr>
            <w:tcW w:type="dxa" w:w="7906"/>
            <w:tcBorders>
              <w:top w:val="single" w:color="7F7F7F" w:sz="4"/>
              <w:left w:val="single" w:color="7F7F7F" w:sz="4"/>
              <w:bottom w:val="single" w:color="7F7F7F" w:sz="4"/>
              <w:right w:val="single" w:color="7F7F7F" w:sz="4"/>
            </w:tcBorders>
            <w:tcMar>
              <w:top w:type="dxa" w:w="80"/>
              <w:left w:type="dxa" w:w="90"/>
              <w:bottom w:type="dxa" w:w="80"/>
              <w:right w:type="dxa" w:w="90"/>
            </w:tcMar>
            <w:vAlign w:val="center"/>
          </w:tcPr>
          <w:p>
            <w:pPr>
              <w:spacing w:after="0" w:before="0" w:line="240"/>
            </w:pPr>
            <w:r>
              <w:rPr>
                <w:rFonts w:ascii="Arial" w:cs="Arial" w:eastAsia="Arial" w:hAnsi="Arial"/>
                <w:sz w:val="19"/>
                <w:szCs w:val="19"/>
              </w:rPr>
              <w:t xml:space="preserve">Friends and family sharing bad rental experiences; brokers pushing quick decisions; advice to "visit in person before trusting anything".</w:t>
            </w:r>
          </w:p>
        </w:tc>
      </w:tr>
      <w:tr>
        <w:trPr>
          <w:cantSplit/>
        </w:trPr>
        <w:tc>
          <w:tcPr>
            <w:tcW w:type="dxa" w:w="2000"/>
            <w:tcBorders>
              <w:top w:val="single" w:color="7F7F7F" w:sz="4"/>
              <w:left w:val="single" w:color="7F7F7F" w:sz="4"/>
              <w:bottom w:val="single" w:color="7F7F7F" w:sz="4"/>
              <w:right w:val="single" w:color="7F7F7F" w:sz="4"/>
            </w:tcBorders>
            <w:shd w:fill="2F5597" w:color="auto" w:val="clear"/>
            <w:tcMar>
              <w:top w:type="dxa" w:w="80"/>
              <w:left w:type="dxa" w:w="90"/>
              <w:bottom w:type="dxa" w:w="80"/>
              <w:right w:type="dxa" w:w="90"/>
            </w:tcMar>
            <w:vAlign w:val="center"/>
          </w:tcPr>
          <w:p>
            <w:pPr>
              <w:spacing w:after="0" w:before="0" w:line="240"/>
            </w:pPr>
            <w:r>
              <w:rPr>
                <w:rFonts w:ascii="Arial" w:cs="Arial" w:eastAsia="Arial" w:hAnsi="Arial"/>
                <w:b/>
                <w:bCs/>
                <w:color w:val="FFFFFF"/>
                <w:sz w:val="19"/>
                <w:szCs w:val="19"/>
              </w:rPr>
              <w:t xml:space="preserve">SAYS &amp; DOES</w:t>
            </w:r>
          </w:p>
        </w:tc>
        <w:tc>
          <w:tcPr>
            <w:tcW w:type="dxa" w:w="7906"/>
            <w:tcBorders>
              <w:top w:val="single" w:color="7F7F7F" w:sz="4"/>
              <w:left w:val="single" w:color="7F7F7F" w:sz="4"/>
              <w:bottom w:val="single" w:color="7F7F7F" w:sz="4"/>
              <w:right w:val="single" w:color="7F7F7F" w:sz="4"/>
            </w:tcBorders>
            <w:tcMar>
              <w:top w:type="dxa" w:w="80"/>
              <w:left w:type="dxa" w:w="90"/>
              <w:bottom w:type="dxa" w:w="80"/>
              <w:right w:type="dxa" w:w="90"/>
            </w:tcMar>
            <w:vAlign w:val="center"/>
          </w:tcPr>
          <w:p>
            <w:pPr>
              <w:spacing w:after="0" w:before="0" w:line="240"/>
            </w:pPr>
            <w:r>
              <w:rPr>
                <w:rFonts w:ascii="Arial" w:cs="Arial" w:eastAsia="Arial" w:hAnsi="Arial"/>
                <w:sz w:val="19"/>
                <w:szCs w:val="19"/>
              </w:rPr>
              <w:t xml:space="preserve">Calls several brokers, browses multiple sites, asks around by word of mouth, asks "Is it still available?", and compares prices manually.</w:t>
            </w:r>
          </w:p>
        </w:tc>
      </w:tr>
      <w:tr>
        <w:trPr>
          <w:cantSplit/>
        </w:trPr>
        <w:tc>
          <w:tcPr>
            <w:tcW w:type="dxa" w:w="2000"/>
            <w:tcBorders>
              <w:top w:val="single" w:color="7F7F7F" w:sz="4"/>
              <w:left w:val="single" w:color="7F7F7F" w:sz="4"/>
              <w:bottom w:val="single" w:color="7F7F7F" w:sz="4"/>
              <w:right w:val="single" w:color="7F7F7F" w:sz="4"/>
            </w:tcBorders>
            <w:shd w:fill="2F5597" w:color="auto" w:val="clear"/>
            <w:tcMar>
              <w:top w:type="dxa" w:w="80"/>
              <w:left w:type="dxa" w:w="90"/>
              <w:bottom w:type="dxa" w:w="80"/>
              <w:right w:type="dxa" w:w="90"/>
            </w:tcMar>
            <w:vAlign w:val="center"/>
          </w:tcPr>
          <w:p>
            <w:pPr>
              <w:spacing w:after="0" w:before="0" w:line="240"/>
            </w:pPr>
            <w:r>
              <w:rPr>
                <w:rFonts w:ascii="Arial" w:cs="Arial" w:eastAsia="Arial" w:hAnsi="Arial"/>
                <w:b/>
                <w:bCs/>
                <w:color w:val="FFFFFF"/>
                <w:sz w:val="19"/>
                <w:szCs w:val="19"/>
              </w:rPr>
              <w:t xml:space="preserve">THINKS &amp; FEELS</w:t>
            </w:r>
          </w:p>
        </w:tc>
        <w:tc>
          <w:tcPr>
            <w:tcW w:type="dxa" w:w="7906"/>
            <w:tcBorders>
              <w:top w:val="single" w:color="7F7F7F" w:sz="4"/>
              <w:left w:val="single" w:color="7F7F7F" w:sz="4"/>
              <w:bottom w:val="single" w:color="7F7F7F" w:sz="4"/>
              <w:right w:val="single" w:color="7F7F7F" w:sz="4"/>
            </w:tcBorders>
            <w:tcMar>
              <w:top w:type="dxa" w:w="80"/>
              <w:left w:type="dxa" w:w="90"/>
              <w:bottom w:type="dxa" w:w="80"/>
              <w:right w:type="dxa" w:w="90"/>
            </w:tcMar>
            <w:vAlign w:val="center"/>
          </w:tcPr>
          <w:p>
            <w:pPr>
              <w:spacing w:after="0" w:before="0" w:line="240"/>
            </w:pPr>
            <w:r>
              <w:rPr>
                <w:rFonts w:ascii="Arial" w:cs="Arial" w:eastAsia="Arial" w:hAnsi="Arial"/>
                <w:sz w:val="19"/>
                <w:szCs w:val="19"/>
              </w:rPr>
              <w:t xml:space="preserve">Worried about fake listings and broker fees; anxious about wasting time and money; hopes for one trusted place with clear pricing in ₹.</w:t>
            </w:r>
          </w:p>
        </w:tc>
      </w:tr>
      <w:tr>
        <w:trPr>
          <w:cantSplit/>
        </w:trPr>
        <w:tc>
          <w:tcPr>
            <w:tcW w:type="dxa" w:w="2000"/>
            <w:tcBorders>
              <w:top w:val="single" w:color="7F7F7F" w:sz="4"/>
              <w:left w:val="single" w:color="7F7F7F" w:sz="4"/>
              <w:bottom w:val="single" w:color="7F7F7F" w:sz="4"/>
              <w:right w:val="single" w:color="7F7F7F" w:sz="4"/>
            </w:tcBorders>
            <w:shd w:fill="2F5597" w:color="auto" w:val="clear"/>
            <w:tcMar>
              <w:top w:type="dxa" w:w="80"/>
              <w:left w:type="dxa" w:w="90"/>
              <w:bottom w:type="dxa" w:w="80"/>
              <w:right w:type="dxa" w:w="90"/>
            </w:tcMar>
            <w:vAlign w:val="center"/>
          </w:tcPr>
          <w:p>
            <w:pPr>
              <w:spacing w:after="0" w:before="0" w:line="240"/>
            </w:pPr>
            <w:r>
              <w:rPr>
                <w:rFonts w:ascii="Arial" w:cs="Arial" w:eastAsia="Arial" w:hAnsi="Arial"/>
                <w:b/>
                <w:bCs/>
                <w:color w:val="FFFFFF"/>
                <w:sz w:val="19"/>
                <w:szCs w:val="19"/>
              </w:rPr>
              <w:t xml:space="preserve">PAINS</w:t>
            </w:r>
          </w:p>
        </w:tc>
        <w:tc>
          <w:tcPr>
            <w:tcW w:type="dxa" w:w="7906"/>
            <w:tcBorders>
              <w:top w:val="single" w:color="7F7F7F" w:sz="4"/>
              <w:left w:val="single" w:color="7F7F7F" w:sz="4"/>
              <w:bottom w:val="single" w:color="7F7F7F" w:sz="4"/>
              <w:right w:val="single" w:color="7F7F7F" w:sz="4"/>
            </w:tcBorders>
            <w:tcMar>
              <w:top w:type="dxa" w:w="80"/>
              <w:left w:type="dxa" w:w="90"/>
              <w:bottom w:type="dxa" w:w="80"/>
              <w:right w:type="dxa" w:w="90"/>
            </w:tcMar>
            <w:vAlign w:val="center"/>
          </w:tcPr>
          <w:p>
            <w:pPr>
              <w:spacing w:after="0" w:before="0" w:line="240"/>
            </w:pPr>
            <w:r>
              <w:rPr>
                <w:rFonts w:ascii="Arial" w:cs="Arial" w:eastAsia="Arial" w:hAnsi="Arial"/>
                <w:sz w:val="19"/>
                <w:szCs w:val="19"/>
              </w:rPr>
              <w:t xml:space="preserve">No way to verify a listing; no real-time availability; opaque pricing; heavy dependence on brokers.</w:t>
            </w:r>
          </w:p>
        </w:tc>
      </w:tr>
      <w:tr>
        <w:trPr>
          <w:cantSplit/>
        </w:trPr>
        <w:tc>
          <w:tcPr>
            <w:tcW w:type="dxa" w:w="2000"/>
            <w:tcBorders>
              <w:top w:val="single" w:color="7F7F7F" w:sz="4"/>
              <w:left w:val="single" w:color="7F7F7F" w:sz="4"/>
              <w:bottom w:val="single" w:color="7F7F7F" w:sz="4"/>
              <w:right w:val="single" w:color="7F7F7F" w:sz="4"/>
            </w:tcBorders>
            <w:shd w:fill="2F5597" w:color="auto" w:val="clear"/>
            <w:tcMar>
              <w:top w:type="dxa" w:w="80"/>
              <w:left w:type="dxa" w:w="90"/>
              <w:bottom w:type="dxa" w:w="80"/>
              <w:right w:type="dxa" w:w="90"/>
            </w:tcMar>
            <w:vAlign w:val="center"/>
          </w:tcPr>
          <w:p>
            <w:pPr>
              <w:spacing w:after="0" w:before="0" w:line="240"/>
            </w:pPr>
            <w:r>
              <w:rPr>
                <w:rFonts w:ascii="Arial" w:cs="Arial" w:eastAsia="Arial" w:hAnsi="Arial"/>
                <w:b/>
                <w:bCs/>
                <w:color w:val="FFFFFF"/>
                <w:sz w:val="19"/>
                <w:szCs w:val="19"/>
              </w:rPr>
              <w:t xml:space="preserve">GAINS</w:t>
            </w:r>
          </w:p>
        </w:tc>
        <w:tc>
          <w:tcPr>
            <w:tcW w:type="dxa" w:w="7906"/>
            <w:tcBorders>
              <w:top w:val="single" w:color="7F7F7F" w:sz="4"/>
              <w:left w:val="single" w:color="7F7F7F" w:sz="4"/>
              <w:bottom w:val="single" w:color="7F7F7F" w:sz="4"/>
              <w:right w:val="single" w:color="7F7F7F" w:sz="4"/>
            </w:tcBorders>
            <w:tcMar>
              <w:top w:type="dxa" w:w="80"/>
              <w:left w:type="dxa" w:w="90"/>
              <w:bottom w:type="dxa" w:w="80"/>
              <w:right w:type="dxa" w:w="90"/>
            </w:tcMar>
            <w:vAlign w:val="center"/>
          </w:tcPr>
          <w:p>
            <w:pPr>
              <w:spacing w:after="0" w:before="0" w:line="240"/>
            </w:pPr>
            <w:r>
              <w:rPr>
                <w:rFonts w:ascii="Arial" w:cs="Arial" w:eastAsia="Arial" w:hAnsi="Arial"/>
                <w:sz w:val="19"/>
                <w:szCs w:val="19"/>
              </w:rPr>
              <w:t xml:space="preserve">Admin-approved listings; live availability calendar; transparent, server-computed price in ₹; simple online booking and cancellation.</w:t>
            </w:r>
          </w:p>
        </w:tc>
      </w:tr>
    </w:tbl>
    <w:p>
      <w:pPr>
        <w:spacing w:after="120" w:before="0"/>
      </w:pPr>
    </w:p>
    <w:p>
      <w:pPr>
        <w:keepNext/>
        <w:spacing w:after="60" w:before="120" w:line="252"/>
      </w:pPr>
      <w:r>
        <w:rPr>
          <w:rFonts w:ascii="Arial" w:cs="Arial" w:eastAsia="Arial" w:hAnsi="Arial"/>
          <w:b/>
          <w:bCs/>
          <w:sz w:val="20"/>
          <w:szCs w:val="20"/>
        </w:rPr>
        <w:t xml:space="preserve">Empathy Map – Secondary User: Landlord / Property Owner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7F7F7F" w:sz="4"/>
              <w:left w:val="single" w:color="7F7F7F" w:sz="4"/>
              <w:bottom w:val="single" w:color="7F7F7F" w:sz="4"/>
              <w:right w:val="single" w:color="7F7F7F" w:sz="4"/>
            </w:tcBorders>
            <w:shd w:fill="548235" w:color="auto" w:val="clear"/>
            <w:tcMar>
              <w:top w:type="dxa" w:w="80"/>
              <w:left w:type="dxa" w:w="90"/>
              <w:bottom w:type="dxa" w:w="80"/>
              <w:right w:type="dxa" w:w="90"/>
            </w:tcMar>
            <w:vAlign w:val="center"/>
          </w:tcPr>
          <w:p>
            <w:pPr>
              <w:spacing w:after="0" w:before="0" w:line="240"/>
            </w:pPr>
            <w:r>
              <w:rPr>
                <w:rFonts w:ascii="Arial" w:cs="Arial" w:eastAsia="Arial" w:hAnsi="Arial"/>
                <w:b/>
                <w:bCs/>
                <w:color w:val="FFFFFF"/>
                <w:sz w:val="19"/>
                <w:szCs w:val="19"/>
              </w:rPr>
              <w:t xml:space="preserve">SEES &amp; HEARS</w:t>
            </w:r>
          </w:p>
        </w:tc>
        <w:tc>
          <w:tcPr>
            <w:tcW w:type="dxa" w:w="7906"/>
            <w:tcBorders>
              <w:top w:val="single" w:color="7F7F7F" w:sz="4"/>
              <w:left w:val="single" w:color="7F7F7F" w:sz="4"/>
              <w:bottom w:val="single" w:color="7F7F7F" w:sz="4"/>
              <w:right w:val="single" w:color="7F7F7F" w:sz="4"/>
            </w:tcBorders>
            <w:tcMar>
              <w:top w:type="dxa" w:w="80"/>
              <w:left w:type="dxa" w:w="90"/>
              <w:bottom w:type="dxa" w:w="80"/>
              <w:right w:type="dxa" w:w="90"/>
            </w:tcMar>
            <w:vAlign w:val="center"/>
          </w:tcPr>
          <w:p>
            <w:pPr>
              <w:spacing w:after="0" w:before="0" w:line="240"/>
            </w:pPr>
            <w:r>
              <w:rPr>
                <w:rFonts w:ascii="Arial" w:cs="Arial" w:eastAsia="Arial" w:hAnsi="Arial"/>
                <w:sz w:val="19"/>
                <w:szCs w:val="19"/>
              </w:rPr>
              <w:t xml:space="preserve">Enquiries arriving through calls and messages; other owners relying on brokers; tenants asking whether a home is verified and available.</w:t>
            </w:r>
          </w:p>
        </w:tc>
      </w:tr>
      <w:tr>
        <w:trPr>
          <w:cantSplit/>
        </w:trPr>
        <w:tc>
          <w:tcPr>
            <w:tcW w:type="dxa" w:w="2000"/>
            <w:tcBorders>
              <w:top w:val="single" w:color="7F7F7F" w:sz="4"/>
              <w:left w:val="single" w:color="7F7F7F" w:sz="4"/>
              <w:bottom w:val="single" w:color="7F7F7F" w:sz="4"/>
              <w:right w:val="single" w:color="7F7F7F" w:sz="4"/>
            </w:tcBorders>
            <w:shd w:fill="548235" w:color="auto" w:val="clear"/>
            <w:tcMar>
              <w:top w:type="dxa" w:w="80"/>
              <w:left w:type="dxa" w:w="90"/>
              <w:bottom w:type="dxa" w:w="80"/>
              <w:right w:type="dxa" w:w="90"/>
            </w:tcMar>
            <w:vAlign w:val="center"/>
          </w:tcPr>
          <w:p>
            <w:pPr>
              <w:spacing w:after="0" w:before="0" w:line="240"/>
            </w:pPr>
            <w:r>
              <w:rPr>
                <w:rFonts w:ascii="Arial" w:cs="Arial" w:eastAsia="Arial" w:hAnsi="Arial"/>
                <w:b/>
                <w:bCs/>
                <w:color w:val="FFFFFF"/>
                <w:sz w:val="19"/>
                <w:szCs w:val="19"/>
              </w:rPr>
              <w:t xml:space="preserve">SAYS &amp; DOES</w:t>
            </w:r>
          </w:p>
        </w:tc>
        <w:tc>
          <w:tcPr>
            <w:tcW w:type="dxa" w:w="7906"/>
            <w:tcBorders>
              <w:top w:val="single" w:color="7F7F7F" w:sz="4"/>
              <w:left w:val="single" w:color="7F7F7F" w:sz="4"/>
              <w:bottom w:val="single" w:color="7F7F7F" w:sz="4"/>
              <w:right w:val="single" w:color="7F7F7F" w:sz="4"/>
            </w:tcBorders>
            <w:tcMar>
              <w:top w:type="dxa" w:w="80"/>
              <w:left w:type="dxa" w:w="90"/>
              <w:bottom w:type="dxa" w:w="80"/>
              <w:right w:type="dxa" w:w="90"/>
            </w:tcMar>
            <w:vAlign w:val="center"/>
          </w:tcPr>
          <w:p>
            <w:pPr>
              <w:spacing w:after="0" w:before="0" w:line="240"/>
            </w:pPr>
            <w:r>
              <w:rPr>
                <w:rFonts w:ascii="Arial" w:cs="Arial" w:eastAsia="Arial" w:hAnsi="Arial"/>
                <w:sz w:val="19"/>
                <w:szCs w:val="19"/>
              </w:rPr>
              <w:t xml:space="preserve">Advertises through brokers and word of mouth; tracks bookings and payments manually in notebooks or chats.</w:t>
            </w:r>
          </w:p>
        </w:tc>
      </w:tr>
      <w:tr>
        <w:trPr>
          <w:cantSplit/>
        </w:trPr>
        <w:tc>
          <w:tcPr>
            <w:tcW w:type="dxa" w:w="2000"/>
            <w:tcBorders>
              <w:top w:val="single" w:color="7F7F7F" w:sz="4"/>
              <w:left w:val="single" w:color="7F7F7F" w:sz="4"/>
              <w:bottom w:val="single" w:color="7F7F7F" w:sz="4"/>
              <w:right w:val="single" w:color="7F7F7F" w:sz="4"/>
            </w:tcBorders>
            <w:shd w:fill="548235" w:color="auto" w:val="clear"/>
            <w:tcMar>
              <w:top w:type="dxa" w:w="80"/>
              <w:left w:type="dxa" w:w="90"/>
              <w:bottom w:type="dxa" w:w="80"/>
              <w:right w:type="dxa" w:w="90"/>
            </w:tcMar>
            <w:vAlign w:val="center"/>
          </w:tcPr>
          <w:p>
            <w:pPr>
              <w:spacing w:after="0" w:before="0" w:line="240"/>
            </w:pPr>
            <w:r>
              <w:rPr>
                <w:rFonts w:ascii="Arial" w:cs="Arial" w:eastAsia="Arial" w:hAnsi="Arial"/>
                <w:b/>
                <w:bCs/>
                <w:color w:val="FFFFFF"/>
                <w:sz w:val="19"/>
                <w:szCs w:val="19"/>
              </w:rPr>
              <w:t xml:space="preserve">THINKS &amp; FEELS</w:t>
            </w:r>
          </w:p>
        </w:tc>
        <w:tc>
          <w:tcPr>
            <w:tcW w:type="dxa" w:w="7906"/>
            <w:tcBorders>
              <w:top w:val="single" w:color="7F7F7F" w:sz="4"/>
              <w:left w:val="single" w:color="7F7F7F" w:sz="4"/>
              <w:bottom w:val="single" w:color="7F7F7F" w:sz="4"/>
              <w:right w:val="single" w:color="7F7F7F" w:sz="4"/>
            </w:tcBorders>
            <w:tcMar>
              <w:top w:type="dxa" w:w="80"/>
              <w:left w:type="dxa" w:w="90"/>
              <w:bottom w:type="dxa" w:w="80"/>
              <w:right w:type="dxa" w:w="90"/>
            </w:tcMar>
            <w:vAlign w:val="center"/>
          </w:tcPr>
          <w:p>
            <w:pPr>
              <w:spacing w:after="0" w:before="0" w:line="240"/>
            </w:pPr>
            <w:r>
              <w:rPr>
                <w:rFonts w:ascii="Arial" w:cs="Arial" w:eastAsia="Arial" w:hAnsi="Arial"/>
                <w:sz w:val="19"/>
                <w:szCs w:val="19"/>
              </w:rPr>
              <w:t xml:space="preserve">Worried about double bookings, unreliable tenants, and not knowing how much rental income is confirmed.</w:t>
            </w:r>
          </w:p>
        </w:tc>
      </w:tr>
      <w:tr>
        <w:trPr>
          <w:cantSplit/>
        </w:trPr>
        <w:tc>
          <w:tcPr>
            <w:tcW w:type="dxa" w:w="2000"/>
            <w:tcBorders>
              <w:top w:val="single" w:color="7F7F7F" w:sz="4"/>
              <w:left w:val="single" w:color="7F7F7F" w:sz="4"/>
              <w:bottom w:val="single" w:color="7F7F7F" w:sz="4"/>
              <w:right w:val="single" w:color="7F7F7F" w:sz="4"/>
            </w:tcBorders>
            <w:shd w:fill="548235" w:color="auto" w:val="clear"/>
            <w:tcMar>
              <w:top w:type="dxa" w:w="80"/>
              <w:left w:type="dxa" w:w="90"/>
              <w:bottom w:type="dxa" w:w="80"/>
              <w:right w:type="dxa" w:w="90"/>
            </w:tcMar>
            <w:vAlign w:val="center"/>
          </w:tcPr>
          <w:p>
            <w:pPr>
              <w:spacing w:after="0" w:before="0" w:line="240"/>
            </w:pPr>
            <w:r>
              <w:rPr>
                <w:rFonts w:ascii="Arial" w:cs="Arial" w:eastAsia="Arial" w:hAnsi="Arial"/>
                <w:b/>
                <w:bCs/>
                <w:color w:val="FFFFFF"/>
                <w:sz w:val="19"/>
                <w:szCs w:val="19"/>
              </w:rPr>
              <w:t xml:space="preserve">PAINS</w:t>
            </w:r>
          </w:p>
        </w:tc>
        <w:tc>
          <w:tcPr>
            <w:tcW w:type="dxa" w:w="7906"/>
            <w:tcBorders>
              <w:top w:val="single" w:color="7F7F7F" w:sz="4"/>
              <w:left w:val="single" w:color="7F7F7F" w:sz="4"/>
              <w:bottom w:val="single" w:color="7F7F7F" w:sz="4"/>
              <w:right w:val="single" w:color="7F7F7F" w:sz="4"/>
            </w:tcBorders>
            <w:tcMar>
              <w:top w:type="dxa" w:w="80"/>
              <w:left w:type="dxa" w:w="90"/>
              <w:bottom w:type="dxa" w:w="80"/>
              <w:right w:type="dxa" w:w="90"/>
            </w:tcMar>
            <w:vAlign w:val="center"/>
          </w:tcPr>
          <w:p>
            <w:pPr>
              <w:spacing w:after="0" w:before="0" w:line="240"/>
            </w:pPr>
            <w:r>
              <w:rPr>
                <w:rFonts w:ascii="Arial" w:cs="Arial" w:eastAsia="Arial" w:hAnsi="Arial"/>
                <w:sz w:val="19"/>
                <w:szCs w:val="19"/>
              </w:rPr>
              <w:t xml:space="preserve">Manual tracking of enquiries, dates, and revenue; low trust from unknown tenants; risk of overlapping bookings.</w:t>
            </w:r>
          </w:p>
        </w:tc>
      </w:tr>
      <w:tr>
        <w:trPr>
          <w:cantSplit/>
        </w:trPr>
        <w:tc>
          <w:tcPr>
            <w:tcW w:type="dxa" w:w="2000"/>
            <w:tcBorders>
              <w:top w:val="single" w:color="7F7F7F" w:sz="4"/>
              <w:left w:val="single" w:color="7F7F7F" w:sz="4"/>
              <w:bottom w:val="single" w:color="7F7F7F" w:sz="4"/>
              <w:right w:val="single" w:color="7F7F7F" w:sz="4"/>
            </w:tcBorders>
            <w:shd w:fill="548235" w:color="auto" w:val="clear"/>
            <w:tcMar>
              <w:top w:type="dxa" w:w="80"/>
              <w:left w:type="dxa" w:w="90"/>
              <w:bottom w:type="dxa" w:w="80"/>
              <w:right w:type="dxa" w:w="90"/>
            </w:tcMar>
            <w:vAlign w:val="center"/>
          </w:tcPr>
          <w:p>
            <w:pPr>
              <w:spacing w:after="0" w:before="0" w:line="240"/>
            </w:pPr>
            <w:r>
              <w:rPr>
                <w:rFonts w:ascii="Arial" w:cs="Arial" w:eastAsia="Arial" w:hAnsi="Arial"/>
                <w:b/>
                <w:bCs/>
                <w:color w:val="FFFFFF"/>
                <w:sz w:val="19"/>
                <w:szCs w:val="19"/>
              </w:rPr>
              <w:t xml:space="preserve">GAINS</w:t>
            </w:r>
          </w:p>
        </w:tc>
        <w:tc>
          <w:tcPr>
            <w:tcW w:type="dxa" w:w="7906"/>
            <w:tcBorders>
              <w:top w:val="single" w:color="7F7F7F" w:sz="4"/>
              <w:left w:val="single" w:color="7F7F7F" w:sz="4"/>
              <w:bottom w:val="single" w:color="7F7F7F" w:sz="4"/>
              <w:right w:val="single" w:color="7F7F7F" w:sz="4"/>
            </w:tcBorders>
            <w:tcMar>
              <w:top w:type="dxa" w:w="80"/>
              <w:left w:type="dxa" w:w="90"/>
              <w:bottom w:type="dxa" w:w="80"/>
              <w:right w:type="dxa" w:w="90"/>
            </w:tcMar>
            <w:vAlign w:val="center"/>
          </w:tcPr>
          <w:p>
            <w:pPr>
              <w:spacing w:after="0" w:before="0" w:line="240"/>
            </w:pPr>
            <w:r>
              <w:rPr>
                <w:rFonts w:ascii="Arial" w:cs="Arial" w:eastAsia="Arial" w:hAnsi="Arial"/>
                <w:sz w:val="19"/>
                <w:szCs w:val="19"/>
              </w:rPr>
              <w:t xml:space="preserve">One dashboard for listings, bookings, and revenue; automatic overlap protection; credibility from admin-approved listings.</w:t>
            </w:r>
          </w:p>
        </w:tc>
      </w:tr>
    </w:tbl>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HouseHunt – Empathy Map Canvas</dc:title>
  <dc:creator>Bharat Gaikwad</dc:creator>
  <cp:lastModifiedBy>Un-named</cp:lastModifiedBy>
  <cp:revision>1</cp:revision>
  <dcterms:created xsi:type="dcterms:W3CDTF">2026-09-20T07:06:55.679Z</dcterms:created>
  <dcterms:modified xsi:type="dcterms:W3CDTF">2026-09-20T07:06:55.680Z</dcterms:modified>
</cp:coreProperties>
</file>

<file path=docProps/custom.xml><?xml version="1.0" encoding="utf-8"?>
<Properties xmlns="http://schemas.openxmlformats.org/officeDocument/2006/custom-properties" xmlns:vt="http://schemas.openxmlformats.org/officeDocument/2006/docPropsVTypes"/>
</file>