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13C9" w14:textId="656A10C2" w:rsidR="007A6599" w:rsidRDefault="007A6599">
      <w:pPr>
        <w:rPr>
          <w:lang w:val="en-US"/>
        </w:rPr>
      </w:pPr>
      <w:r>
        <w:rPr>
          <w:lang w:val="en-US"/>
        </w:rPr>
        <w:t>Practical-10:</w:t>
      </w:r>
    </w:p>
    <w:p w14:paraId="2F4A756D" w14:textId="1246ABE8" w:rsidR="007A6599" w:rsidRDefault="007A6599">
      <w:pPr>
        <w:rPr>
          <w:lang w:val="en-US"/>
        </w:rPr>
      </w:pPr>
      <w:r w:rsidRPr="007A6599">
        <w:rPr>
          <w:lang w:val="en-US"/>
        </w:rPr>
        <w:drawing>
          <wp:inline distT="0" distB="0" distL="0" distR="0" wp14:anchorId="3C3D93E9" wp14:editId="57C51BC6">
            <wp:extent cx="5731510" cy="4518660"/>
            <wp:effectExtent l="0" t="0" r="2540" b="0"/>
            <wp:docPr id="145836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62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DB4B" w14:textId="3564AEE6" w:rsidR="007A6599" w:rsidRDefault="007A6599">
      <w:pPr>
        <w:rPr>
          <w:lang w:val="en-US"/>
        </w:rPr>
      </w:pPr>
      <w:r>
        <w:rPr>
          <w:noProof/>
        </w:rPr>
        <w:drawing>
          <wp:inline distT="0" distB="0" distL="0" distR="0" wp14:anchorId="72966BF8" wp14:editId="17DB12FF">
            <wp:extent cx="5731510" cy="1327785"/>
            <wp:effectExtent l="0" t="0" r="2540" b="5715"/>
            <wp:docPr id="148137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72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6B34" w14:textId="3AB24E13" w:rsidR="007A6599" w:rsidRPr="007A6599" w:rsidRDefault="007A6599">
      <w:pPr>
        <w:rPr>
          <w:lang w:val="en-US"/>
        </w:rPr>
      </w:pPr>
    </w:p>
    <w:sectPr w:rsidR="007A6599" w:rsidRPr="007A6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99"/>
    <w:rsid w:val="005630EA"/>
    <w:rsid w:val="007A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0089"/>
  <w15:chartTrackingRefBased/>
  <w15:docId w15:val="{480E82A1-FC68-4C62-B65B-CFA99DF7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2026-10-01T10:02:00Z</dcterms:created>
  <dcterms:modified xsi:type="dcterms:W3CDTF">2026-10-01T10:05:00Z</dcterms:modified>
</cp:coreProperties>
</file>