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160"/>
        <w:jc w:val="center"/>
      </w:pPr>
      <w:r>
        <w:rPr>
          <w:b/>
          <w:bCs/>
          <w:color w:val="1A1A2E"/>
          <w:sz w:val="72"/>
          <w:szCs w:val="72"/>
          <w:rFonts w:ascii="Times New Roman" w:cs="Times New Roman" w:eastAsia="Times New Roman" w:hAnsi="Times New Roman"/>
        </w:rPr>
        <w:t xml:space="preserve">SentinelOps</w:t>
      </w:r>
    </w:p>
    <w:p>
      <w:pPr>
        <w:spacing w:before="0" w:after="80"/>
        <w:jc w:val="center"/>
      </w:pPr>
      <w:r>
        <w:rPr>
          <w:i/>
          <w:iCs/>
          <w:color w:val="333355"/>
          <w:sz w:val="32"/>
          <w:szCs w:val="32"/>
          <w:rFonts w:ascii="Times New Roman" w:cs="Times New Roman" w:eastAsia="Times New Roman" w:hAnsi="Times New Roman"/>
        </w:rPr>
        <w:t xml:space="preserve">Graph-Native AI SRE for Small Engineering Teams:</w:t>
      </w:r>
    </w:p>
    <w:p>
      <w:pPr>
        <w:spacing w:before="0" w:after="400"/>
        <w:jc w:val="center"/>
      </w:pPr>
      <w:r>
        <w:rPr>
          <w:i/>
          <w:iCs/>
          <w:color w:val="333355"/>
          <w:sz w:val="32"/>
          <w:szCs w:val="32"/>
          <w:rFonts w:ascii="Times New Roman" w:cs="Times New Roman" w:eastAsia="Times New Roman" w:hAnsi="Times New Roman"/>
        </w:rPr>
        <w:t xml:space="preserve">Market Research, Problem Validation &amp; Competitive Positioning</w:t>
      </w:r>
    </w:p>
    <w:p>
      <w:pPr>
        <w:pBdr>
          <w:top w:val="single" w:color="AAAAAA" w:sz="3" w:space="4"/>
          <w:bottom w:val="single" w:color="AAAAAA" w:sz="3" w:space="4"/>
        </w:pBdr>
        <w:spacing w:before="0" w:after="80"/>
        <w:jc w:val="center"/>
      </w:pPr>
      <w:r>
        <w:rPr>
          <w:sz w:val="8"/>
          <w:szCs w:val="8"/>
          <w:rFonts w:ascii="Times New Roman" w:cs="Times New Roman" w:eastAsia="Times New Roman" w:hAnsi="Times New Roman"/>
        </w:rPr>
        <w:t xml:space="preserve"> </w:t>
      </w:r>
    </w:p>
    <w:p>
      <w:pPr>
        <w:spacing w:before="0" w:after="0"/>
      </w:pPr>
    </w:p>
    <w:p>
      <w:pPr>
        <w:spacing w:before="0" w:after="60"/>
        <w:jc w:val="center"/>
      </w:pPr>
      <w:r>
        <w:rPr>
          <w:color w:val="444444"/>
          <w:sz w:val="22"/>
          <w:szCs w:val="22"/>
          <w:rFonts w:ascii="Times New Roman" w:cs="Times New Roman" w:eastAsia="Times New Roman" w:hAnsi="Times New Roman"/>
        </w:rPr>
        <w:t xml:space="preserve">Prepared for HackHazards '26 — Namespace Technologies</w:t>
      </w:r>
    </w:p>
    <w:p>
      <w:pPr>
        <w:spacing w:before="0" w:after="60"/>
        <w:jc w:val="center"/>
      </w:pPr>
      <w:r>
        <w:rPr>
          <w:color w:val="444444"/>
          <w:sz w:val="22"/>
          <w:szCs w:val="22"/>
          <w:rFonts w:ascii="Times New Roman" w:cs="Times New Roman" w:eastAsia="Times New Roman" w:hAnsi="Times New Roman"/>
        </w:rPr>
        <w:t xml:space="preserve">Track: Neo4j — Build Databases with AuraDB</w:t>
      </w:r>
    </w:p>
    <w:p>
      <w:pPr>
        <w:spacing w:before="0" w:after="60"/>
        <w:jc w:val="center"/>
      </w:pPr>
      <w:r>
        <w:rPr>
          <w:color w:val="444444"/>
          <w:sz w:val="22"/>
          <w:szCs w:val="22"/>
          <w:rFonts w:ascii="Times New Roman" w:cs="Times New Roman" w:eastAsia="Times New Roman" w:hAnsi="Times New Roman"/>
        </w:rPr>
        <w:t xml:space="preserve">Team: Ganesh et al. | Date: May 10, 2026</w:t>
      </w:r>
    </w:p>
    <w:p>
      <w:pPr>
        <w:spacing w:before="0" w:after="60"/>
        <w:jc w:val="center"/>
      </w:pPr>
      <w:r>
        <w:rPr>
          <w:color w:val="444444"/>
          <w:sz w:val="22"/>
          <w:szCs w:val="22"/>
          <w:rFonts w:ascii="Times New Roman" w:cs="Times New Roman" w:eastAsia="Times New Roman" w:hAnsi="Times New Roman"/>
        </w:rPr>
        <w:t xml:space="preserve">Version: 1.0 — Internal Research Document</w:t>
      </w:r>
    </w:p>
    <w:p>
      <w:pPr>
        <w:spacing w:before="0" w:after="0"/>
      </w:pPr>
    </w:p>
    <w:p>
      <w:pPr>
        <w:spacing w:before="0" w:after="0"/>
      </w:pPr>
    </w:p>
    <w:p>
      <w:pPr>
        <w:spacing w:before="0" w:after="80"/>
      </w:pPr>
      <w:r>
        <w:rPr>
          <w:b/>
          <w:bCs/>
          <w:sz w:val="26"/>
          <w:szCs w:val="26"/>
          <w:rFonts w:ascii="Times New Roman" w:cs="Times New Roman" w:eastAsia="Times New Roman" w:hAnsi="Times New Roman"/>
        </w:rPr>
        <w:t xml:space="preserve">Abstract</w:t>
      </w:r>
    </w:p>
    <w:p>
      <w:pPr>
        <w:pBdr>
          <w:left w:val="single" w:color="1A1A2E" w:sz="12" w:space="8"/>
        </w:pBdr>
        <w:spacing w:before="0" w:after="120"/>
        <w:ind w:left="360"/>
        <w:jc w:val="both"/>
      </w:pPr>
      <w:r>
        <w:rPr>
          <w:i/>
          <w:iCs/>
          <w:sz w:val="22"/>
          <w:szCs w:val="22"/>
          <w:rFonts w:ascii="Times New Roman" w:cs="Times New Roman" w:eastAsia="Times New Roman" w:hAnsi="Times New Roman"/>
        </w:rPr>
        <w:t xml:space="preserve">This paper presents a structured market research and competitive analysis for SentinelOps — a graph-native AI Site Reliability Engineer (SRE) platform designed for small engineering teams. We examine the production incident triage problem, quantify its impact on engineering teams, survey the current AI SRE tool landscape across twelve major platforms, and identify a specific technology gap that SentinelOps is positioned to fill: graph-native causal reasoning for non-Kubernetes, non-enterprise teams at startup-accessible pricing. The paper concludes with an honest startup viability assessment and the technical differentiation argument for using Neo4j AuraDB as the core reasoning substrate.</w:t>
      </w:r>
    </w:p>
    <w:p>
      <w:pPr>
        <w:spacing w:before="0" w:after="0"/>
      </w:pPr>
    </w:p>
    <w:p>
      <w:pPr>
        <w:spacing w:before="0" w:after="80"/>
      </w:pPr>
      <w:r>
        <w:rPr>
          <w:b/>
          <w:bCs/>
          <w:sz w:val="22"/>
          <w:szCs w:val="22"/>
          <w:rFonts w:ascii="Times New Roman" w:cs="Times New Roman" w:eastAsia="Times New Roman" w:hAnsi="Times New Roman"/>
        </w:rPr>
        <w:t xml:space="preserve">Keywords: </w:t>
      </w:r>
      <w:r>
        <w:rPr>
          <w:i/>
          <w:iCs/>
          <w:sz w:val="22"/>
          <w:szCs w:val="22"/>
          <w:rFonts w:ascii="Times New Roman" w:cs="Times New Roman" w:eastAsia="Times New Roman" w:hAnsi="Times New Roman"/>
        </w:rPr>
        <w:t xml:space="preserve">AI SRE, incident triage, graph database, Neo4j, root cause analysis, MTTR, causal reasoning, DevOps, knowledge graph, service topology</w:t>
      </w:r>
    </w:p>
    <w:p>
      <w:r>
        <w:br w:type="page"/>
      </w:r>
    </w:p>
    <w:p>
      <w:pPr>
        <w:spacing w:before="320" w:after="120"/>
      </w:pPr>
      <w:r>
        <w:rPr>
          <w:b/>
          <w:bCs/>
          <w:sz w:val="24"/>
          <w:szCs w:val="24"/>
          <w:rFonts w:ascii="Times New Roman" w:cs="Times New Roman" w:eastAsia="Times New Roman" w:hAnsi="Times New Roman"/>
        </w:rPr>
        <w:t xml:space="preserve">1. Introduction</w:t>
      </w:r>
    </w:p>
    <w:p>
      <w:pPr>
        <w:spacing w:before="80" w:after="120"/>
        <w:jc w:val="both"/>
      </w:pPr>
      <w:r>
        <w:rPr>
          <w:sz w:val="22"/>
          <w:szCs w:val="22"/>
          <w:rFonts w:ascii="Times New Roman" w:cs="Times New Roman" w:eastAsia="Times New Roman" w:hAnsi="Times New Roman"/>
        </w:rPr>
        <w:t xml:space="preserve">Modern software engineering teams face a structural reliability problem. As deployment velocity increases — driven by AI-assisted coding, continuous delivery pipelines, and microservice architectures — the complexity of production systems grows faster than the tools available to reason about them.</w:t>
      </w:r>
    </w:p>
    <w:p>
      <w:pPr>
        <w:spacing w:before="80" w:after="120"/>
        <w:jc w:val="both"/>
      </w:pPr>
      <w:r>
        <w:rPr>
          <w:sz w:val="22"/>
          <w:szCs w:val="22"/>
          <w:rFonts w:ascii="Times New Roman" w:cs="Times New Roman" w:eastAsia="Times New Roman" w:hAnsi="Times New Roman"/>
        </w:rPr>
        <w:t xml:space="preserve">Incidents happen. The question is not whether a team will face a production failure, but how long it will take them to understand it, contain it, and prevent recurrence. That window — the Mean Time to Resolution (MTTR) — is where engineering productivity, user trust, and team wellbeing are lost.</w:t>
      </w:r>
    </w:p>
    <w:p>
      <w:pPr>
        <w:spacing w:before="80" w:after="120"/>
        <w:jc w:val="both"/>
      </w:pPr>
      <w:r>
        <w:rPr>
          <w:sz w:val="22"/>
          <w:szCs w:val="22"/>
          <w:rFonts w:ascii="Times New Roman" w:cs="Times New Roman" w:eastAsia="Times New Roman" w:hAnsi="Times New Roman"/>
        </w:rPr>
        <w:t xml:space="preserve">For large organizations with dedicated Site Reliability Engineering (SRE) teams, the tooling landscape has matured significantly. Platforms like Dynatrace, Datadog, and a growing ecosystem of AI-native investigation tools provide sophisticated support. But for the 5–50 engineer startup — shipping fast, without dedicated SRE headcount, and below the budget threshold for enterprise observability — the gap between what breaks and what explains it remains stubbornly wide.</w:t>
      </w:r>
    </w:p>
    <w:p>
      <w:pPr>
        <w:spacing w:before="80" w:after="120"/>
        <w:jc w:val="both"/>
      </w:pPr>
      <w:r>
        <w:rPr>
          <w:sz w:val="22"/>
          <w:szCs w:val="22"/>
          <w:rFonts w:ascii="Times New Roman" w:cs="Times New Roman" w:eastAsia="Times New Roman" w:hAnsi="Times New Roman"/>
        </w:rPr>
        <w:t xml:space="preserve">SentinelOps is a proposed platform to close that gap. Its thesis: model your entire infrastructure as a live knowledge graph in Neo4j AuraDB, and traverse it — the way a senior SRE would reason — when something breaks. The output is not more dashboards or more alerts. It is a probabilistic causal narrative, a blast radius map, and a remediation recommendation, delivered in the time it used to take an engineer to open their second tab.</w:t>
      </w:r>
    </w:p>
    <w:p>
      <w:pPr>
        <w:spacing w:before="80" w:after="120"/>
        <w:jc w:val="both"/>
      </w:pPr>
      <w:r>
        <w:rPr>
          <w:sz w:val="22"/>
          <w:szCs w:val="22"/>
          <w:rFonts w:ascii="Times New Roman" w:cs="Times New Roman" w:eastAsia="Times New Roman" w:hAnsi="Times New Roman"/>
        </w:rPr>
        <w:t xml:space="preserve">This paper documents the research and competitive analysis that underpins the SentinelOps product thesis, prepared in the context of HackHazards '26 by Namespace Technologies.</w:t>
      </w:r>
    </w:p>
    <w:p>
      <w:pPr>
        <w:spacing w:before="320" w:after="120"/>
      </w:pPr>
      <w:r>
        <w:rPr>
          <w:b/>
          <w:bCs/>
          <w:sz w:val="24"/>
          <w:szCs w:val="24"/>
          <w:rFonts w:ascii="Times New Roman" w:cs="Times New Roman" w:eastAsia="Times New Roman" w:hAnsi="Times New Roman"/>
        </w:rPr>
        <w:t xml:space="preserve">2. Problem Statement</w:t>
      </w:r>
    </w:p>
    <w:p>
      <w:pPr>
        <w:spacing w:before="200" w:after="80"/>
      </w:pPr>
      <w:r>
        <w:rPr>
          <w:b/>
          <w:bCs/>
          <w:i/>
          <w:iCs/>
          <w:sz w:val="22"/>
          <w:szCs w:val="22"/>
          <w:rFonts w:ascii="Times New Roman" w:cs="Times New Roman" w:eastAsia="Times New Roman" w:hAnsi="Times New Roman"/>
        </w:rPr>
        <w:t xml:space="preserve">2.1 The Production Incident Gap</w:t>
      </w:r>
    </w:p>
    <w:p>
      <w:pPr>
        <w:spacing w:before="80" w:after="120"/>
        <w:jc w:val="both"/>
      </w:pPr>
      <w:r>
        <w:rPr>
          <w:sz w:val="22"/>
          <w:szCs w:val="22"/>
          <w:rFonts w:ascii="Times New Roman" w:cs="Times New Roman" w:eastAsia="Times New Roman" w:hAnsi="Times New Roman"/>
        </w:rPr>
        <w:t xml:space="preserve">When a production incident occurs, a developer on-call is typically handed a pager alert and a blank slate. Their investigation process looks like this:</w:t>
      </w:r>
    </w:p>
    <w:p>
      <w:pPr>
        <w:pStyle w:val="ListParagraph"/>
        <w:numPr>
          <w:ilvl w:val="0"/>
          <w:numId w:val="2"/>
        </w:numPr>
        <w:spacing w:before="40" w:after="40"/>
      </w:pPr>
      <w:r>
        <w:rPr>
          <w:sz w:val="22"/>
          <w:szCs w:val="22"/>
          <w:rFonts w:ascii="Times New Roman" w:cs="Times New Roman" w:eastAsia="Times New Roman" w:hAnsi="Times New Roman"/>
        </w:rPr>
        <w:t xml:space="preserve">Open the monitoring dashboard — see that something is wrong, but not why</w:t>
      </w:r>
    </w:p>
    <w:p>
      <w:pPr>
        <w:pStyle w:val="ListParagraph"/>
        <w:numPr>
          <w:ilvl w:val="0"/>
          <w:numId w:val="2"/>
        </w:numPr>
        <w:spacing w:before="40" w:after="40"/>
      </w:pPr>
      <w:r>
        <w:rPr>
          <w:sz w:val="22"/>
          <w:szCs w:val="22"/>
          <w:rFonts w:ascii="Times New Roman" w:cs="Times New Roman" w:eastAsia="Times New Roman" w:hAnsi="Times New Roman"/>
        </w:rPr>
        <w:t xml:space="preserve">Switch to logs — 400,000 lines, no clear entry point</w:t>
      </w:r>
    </w:p>
    <w:p>
      <w:pPr>
        <w:pStyle w:val="ListParagraph"/>
        <w:numPr>
          <w:ilvl w:val="0"/>
          <w:numId w:val="2"/>
        </w:numPr>
        <w:spacing w:before="40" w:after="40"/>
      </w:pPr>
      <w:r>
        <w:rPr>
          <w:sz w:val="22"/>
          <w:szCs w:val="22"/>
          <w:rFonts w:ascii="Times New Roman" w:cs="Times New Roman" w:eastAsia="Times New Roman" w:hAnsi="Times New Roman"/>
        </w:rPr>
        <w:t xml:space="preserve">Check recent deployments — manually correlate with the spike timestamp</w:t>
      </w:r>
    </w:p>
    <w:p>
      <w:pPr>
        <w:pStyle w:val="ListParagraph"/>
        <w:numPr>
          <w:ilvl w:val="0"/>
          <w:numId w:val="2"/>
        </w:numPr>
        <w:spacing w:before="40" w:after="40"/>
      </w:pPr>
      <w:r>
        <w:rPr>
          <w:sz w:val="22"/>
          <w:szCs w:val="22"/>
          <w:rFonts w:ascii="Times New Roman" w:cs="Times New Roman" w:eastAsia="Times New Roman" w:hAnsi="Times New Roman"/>
        </w:rPr>
        <w:t xml:space="preserve">Open the service topology diagram — likely outdated, probably in Confluence</w:t>
      </w:r>
    </w:p>
    <w:p>
      <w:pPr>
        <w:pStyle w:val="ListParagraph"/>
        <w:numPr>
          <w:ilvl w:val="0"/>
          <w:numId w:val="2"/>
        </w:numPr>
        <w:spacing w:before="40" w:after="40"/>
      </w:pPr>
      <w:r>
        <w:rPr>
          <w:sz w:val="22"/>
          <w:szCs w:val="22"/>
          <w:rFonts w:ascii="Times New Roman" w:cs="Times New Roman" w:eastAsia="Times New Roman" w:hAnsi="Times New Roman"/>
        </w:rPr>
        <w:t xml:space="preserve">Start guessing which dependency could have caused the cascade</w:t>
      </w:r>
    </w:p>
    <w:p>
      <w:pPr>
        <w:pStyle w:val="ListParagraph"/>
        <w:numPr>
          <w:ilvl w:val="0"/>
          <w:numId w:val="2"/>
        </w:numPr>
        <w:spacing w:before="40" w:after="40"/>
      </w:pPr>
      <w:r>
        <w:rPr>
          <w:sz w:val="22"/>
          <w:szCs w:val="22"/>
          <w:rFonts w:ascii="Times New Roman" w:cs="Times New Roman" w:eastAsia="Times New Roman" w:hAnsi="Times New Roman"/>
        </w:rPr>
        <w:t xml:space="preserve">Page another engineer for institutional knowledge</w:t>
      </w:r>
    </w:p>
    <w:p>
      <w:pPr>
        <w:pStyle w:val="ListParagraph"/>
        <w:numPr>
          <w:ilvl w:val="0"/>
          <w:numId w:val="2"/>
        </w:numPr>
        <w:spacing w:before="40" w:after="40"/>
      </w:pPr>
      <w:r>
        <w:rPr>
          <w:sz w:val="22"/>
          <w:szCs w:val="22"/>
          <w:rFonts w:ascii="Times New Roman" w:cs="Times New Roman" w:eastAsia="Times New Roman" w:hAnsi="Times New Roman"/>
        </w:rPr>
        <w:t xml:space="preserve">Eventually find the cause — 35 to 90 minutes later</w:t>
      </w:r>
    </w:p>
    <w:p>
      <w:pPr>
        <w:spacing w:before="0" w:after="0"/>
      </w:pPr>
    </w:p>
    <w:p>
      <w:pPr>
        <w:spacing w:before="80" w:after="120"/>
        <w:jc w:val="both"/>
      </w:pPr>
      <w:r>
        <w:rPr>
          <w:sz w:val="22"/>
          <w:szCs w:val="22"/>
          <w:rFonts w:ascii="Times New Roman" w:cs="Times New Roman" w:eastAsia="Times New Roman" w:hAnsi="Times New Roman"/>
        </w:rPr>
        <w:t xml:space="preserve">This process is manual, slow, and deeply dependent on individual knowledge. It is not a tooling failure in the traditional sense — the data exists. Metrics are collected. Logs are stored. Deployments are tracked. The failure is the absence of anything that connects those signals into a coherent causal explanation automatically.</w:t>
      </w:r>
    </w:p>
    <w:p>
      <w:pPr>
        <w:spacing w:before="200" w:after="80"/>
      </w:pPr>
      <w:r>
        <w:rPr>
          <w:b/>
          <w:bCs/>
          <w:i/>
          <w:iCs/>
          <w:sz w:val="22"/>
          <w:szCs w:val="22"/>
          <w:rFonts w:ascii="Times New Roman" w:cs="Times New Roman" w:eastAsia="Times New Roman" w:hAnsi="Times New Roman"/>
        </w:rPr>
        <w:t xml:space="preserve">2.2 Quantified Impact</w:t>
      </w:r>
    </w:p>
    <w:p>
      <w:pPr>
        <w:spacing w:before="80" w:after="120"/>
        <w:jc w:val="both"/>
      </w:pPr>
      <w:r>
        <w:rPr>
          <w:sz w:val="22"/>
          <w:szCs w:val="22"/>
          <w:rFonts w:ascii="Times New Roman" w:cs="Times New Roman" w:eastAsia="Times New Roman" w:hAnsi="Times New Roman"/>
        </w:rPr>
        <w:t xml:space="preserve">Industry data validates the severity of the problem. A 2025 Catchpoint report found that </w:t>
      </w:r>
      <w:r>
        <w:rPr>
          <w:b/>
          <w:bCs/>
          <w:sz w:val="22"/>
          <w:szCs w:val="22"/>
          <w:rFonts w:ascii="Times New Roman" w:cs="Times New Roman" w:eastAsia="Times New Roman" w:hAnsi="Times New Roman"/>
        </w:rPr>
        <w:t xml:space="preserve">nearly 70% of SREs report that on-call stress directly contributed to burnout and attrition.</w:t>
      </w:r>
      <w:r>
        <w:rPr>
          <w:sz w:val="22"/>
          <w:szCs w:val="22"/>
          <w:rFonts w:ascii="Times New Roman" w:cs="Times New Roman" w:eastAsia="Times New Roman" w:hAnsi="Times New Roman"/>
        </w:rPr>
        <w:t xml:space="preserve"> The 2025 DORA State of AI-Assisted Software Development report found that </w:t>
      </w:r>
      <w:r>
        <w:rPr>
          <w:b/>
          <w:bCs/>
          <w:sz w:val="22"/>
          <w:szCs w:val="22"/>
          <w:rFonts w:ascii="Times New Roman" w:cs="Times New Roman" w:eastAsia="Times New Roman" w:hAnsi="Times New Roman"/>
        </w:rPr>
        <w:t xml:space="preserve">incidents per pull request increased by 242.7%</w:t>
      </w:r>
      <w:r>
        <w:rPr>
          <w:sz w:val="22"/>
          <w:szCs w:val="22"/>
          <w:rFonts w:ascii="Times New Roman" w:cs="Times New Roman" w:eastAsia="Times New Roman" w:hAnsi="Times New Roman"/>
        </w:rPr>
        <w:t xml:space="preserve"> as AI coding assistants accelerated delivery velocity — without a corresponding improvement in incident response capacity. Meanwhile, the State of Incident Management 2025 reported that </w:t>
      </w:r>
      <w:r>
        <w:rPr>
          <w:b/>
          <w:bCs/>
          <w:sz w:val="22"/>
          <w:szCs w:val="22"/>
          <w:rFonts w:ascii="Times New Roman" w:cs="Times New Roman" w:eastAsia="Times New Roman" w:hAnsi="Times New Roman"/>
        </w:rPr>
        <w:t xml:space="preserve">operational toil rose to 30% despite increased AI investment</w:t>
      </w:r>
      <w:r>
        <w:rPr>
          <w:sz w:val="22"/>
          <w:szCs w:val="22"/>
          <w:rFonts w:ascii="Times New Roman" w:cs="Times New Roman" w:eastAsia="Times New Roman" w:hAnsi="Times New Roman"/>
        </w:rPr>
        <w:t xml:space="preserve"> — the first increase in five years.</w:t>
      </w:r>
    </w:p>
    <w:p>
      <w:pPr>
        <w:spacing w:before="80" w:after="120"/>
        <w:jc w:val="both"/>
      </w:pPr>
      <w:r>
        <w:rPr>
          <w:sz w:val="22"/>
          <w:szCs w:val="22"/>
          <w:rFonts w:ascii="Times New Roman" w:cs="Times New Roman" w:eastAsia="Times New Roman" w:hAnsi="Times New Roman"/>
        </w:rPr>
        <w:t xml:space="preserve">The economic argument is straightforward. Every minute of unresolved production downtime carries a cost — in lost revenue, user churn, and SLA breach risk. For small teams, the cost also includes the cognitive and emotional toll on developers who were hired to build, not to firefight at 2 AM.</w:t>
      </w:r>
    </w:p>
    <w:p>
      <w:pPr>
        <w:spacing w:before="200" w:after="80"/>
      </w:pPr>
      <w:r>
        <w:rPr>
          <w:b/>
          <w:bCs/>
          <w:i/>
          <w:iCs/>
          <w:sz w:val="22"/>
          <w:szCs w:val="22"/>
          <w:rFonts w:ascii="Times New Roman" w:cs="Times New Roman" w:eastAsia="Times New Roman" w:hAnsi="Times New Roman"/>
        </w:rPr>
        <w:t xml:space="preserve">2.3 Why Existing Tools Fall Short for Small Teams</w:t>
      </w:r>
    </w:p>
    <w:p>
      <w:pPr>
        <w:spacing w:before="80" w:after="120"/>
        <w:jc w:val="both"/>
      </w:pPr>
      <w:r>
        <w:rPr>
          <w:sz w:val="22"/>
          <w:szCs w:val="22"/>
          <w:rFonts w:ascii="Times New Roman" w:cs="Times New Roman" w:eastAsia="Times New Roman" w:hAnsi="Times New Roman"/>
        </w:rPr>
        <w:t xml:space="preserve">The problem is not that no tools exist. It is that existing tools were built for a different customer. Most AI SRE platforms fall into one of three categories, each with a structural limitation for small teams:</w:t>
      </w:r>
    </w:p>
    <w:p>
      <w:pPr>
        <w:pStyle w:val="ListParagraph"/>
        <w:numPr>
          <w:ilvl w:val="0"/>
          <w:numId w:val="3"/>
        </w:numPr>
        <w:spacing w:before="40" w:after="40"/>
      </w:pPr>
      <w:r>
        <w:rPr>
          <w:b w:val="false"/>
          <w:bCs w:val="false"/>
          <w:sz w:val="22"/>
          <w:szCs w:val="22"/>
          <w:rFonts w:ascii="Times New Roman" w:cs="Times New Roman" w:eastAsia="Times New Roman" w:hAnsi="Times New Roman"/>
        </w:rPr>
        <w:t xml:space="preserve">Enterprise observability platforms (Datadog, Dynatrace) — powerful but expensive, and AI features are locked behind ecosystem commitment</w:t>
      </w:r>
    </w:p>
    <w:p>
      <w:pPr>
        <w:pStyle w:val="ListParagraph"/>
        <w:numPr>
          <w:ilvl w:val="0"/>
          <w:numId w:val="3"/>
        </w:numPr>
        <w:spacing w:before="40" w:after="40"/>
      </w:pPr>
      <w:r>
        <w:rPr>
          <w:b w:val="false"/>
          <w:bCs w:val="false"/>
          <w:sz w:val="22"/>
          <w:szCs w:val="22"/>
          <w:rFonts w:ascii="Times New Roman" w:cs="Times New Roman" w:eastAsia="Times New Roman" w:hAnsi="Times New Roman"/>
        </w:rPr>
        <w:t xml:space="preserve">Kubernetes-specialist tools (Komodor, Metoro) — deeply capable within their domain, but irrelevant to the majority of small teams not running Kubernetes-native infrastructure</w:t>
      </w:r>
    </w:p>
    <w:p>
      <w:pPr>
        <w:pStyle w:val="ListParagraph"/>
        <w:numPr>
          <w:ilvl w:val="0"/>
          <w:numId w:val="3"/>
        </w:numPr>
        <w:spacing w:before="40" w:after="40"/>
      </w:pPr>
      <w:r>
        <w:rPr>
          <w:b w:val="false"/>
          <w:bCs w:val="false"/>
          <w:sz w:val="22"/>
          <w:szCs w:val="22"/>
          <w:rFonts w:ascii="Times New Roman" w:cs="Times New Roman" w:eastAsia="Times New Roman" w:hAnsi="Times New Roman"/>
        </w:rPr>
        <w:t xml:space="preserve">Incident workflow platforms (Rootly, FireHydrant, PagerDuty) — excellent at coordination and documentation, but not designed for causal investigation</w:t>
      </w:r>
    </w:p>
    <w:p>
      <w:pPr>
        <w:spacing w:before="80" w:after="120"/>
        <w:jc w:val="both"/>
      </w:pPr>
      <w:r>
        <w:rPr>
          <w:sz w:val="22"/>
          <w:szCs w:val="22"/>
          <w:rFonts w:ascii="Times New Roman" w:cs="Times New Roman" w:eastAsia="Times New Roman" w:hAnsi="Times New Roman"/>
        </w:rPr>
        <w:t xml:space="preserve">The gap — graph-native causal reasoning, for any stack, at startup-friendly pricing — remains largely unoccupied.</w:t>
      </w:r>
    </w:p>
    <w:p>
      <w:pPr>
        <w:spacing w:before="320" w:after="120"/>
      </w:pPr>
      <w:r>
        <w:rPr>
          <w:b/>
          <w:bCs/>
          <w:sz w:val="24"/>
          <w:szCs w:val="24"/>
          <w:rFonts w:ascii="Times New Roman" w:cs="Times New Roman" w:eastAsia="Times New Roman" w:hAnsi="Times New Roman"/>
        </w:rPr>
        <w:t xml:space="preserve">3. The AI SRE Category: Context and Evolution</w:t>
      </w:r>
    </w:p>
    <w:p>
      <w:pPr>
        <w:spacing w:before="200" w:after="80"/>
      </w:pPr>
      <w:r>
        <w:rPr>
          <w:b/>
          <w:bCs/>
          <w:i/>
          <w:iCs/>
          <w:sz w:val="22"/>
          <w:szCs w:val="22"/>
          <w:rFonts w:ascii="Times New Roman" w:cs="Times New Roman" w:eastAsia="Times New Roman" w:hAnsi="Times New Roman"/>
        </w:rPr>
        <w:t xml:space="preserve">3.1 From AIOps to AI SRE</w:t>
      </w:r>
    </w:p>
    <w:p>
      <w:pPr>
        <w:spacing w:before="80" w:after="120"/>
        <w:jc w:val="both"/>
      </w:pPr>
      <w:r>
        <w:rPr>
          <w:sz w:val="22"/>
          <w:szCs w:val="22"/>
          <w:rFonts w:ascii="Times New Roman" w:cs="Times New Roman" w:eastAsia="Times New Roman" w:hAnsi="Times New Roman"/>
        </w:rPr>
        <w:t xml:space="preserve">The broader category of AI-assisted operations is not new. AIOps — a term popularized by Gartner — historically referred to using machine learning for event correlation, anomaly detection, and alert deduplication. Its primary value was noise reduction: correlating thousands of alerts into a smaller number of actionable incidents.</w:t>
      </w:r>
    </w:p>
    <w:p>
      <w:pPr>
        <w:spacing w:before="80" w:after="120"/>
        <w:jc w:val="both"/>
      </w:pPr>
      <w:r>
        <w:rPr>
          <w:sz w:val="22"/>
          <w:szCs w:val="22"/>
          <w:rFonts w:ascii="Times New Roman" w:cs="Times New Roman" w:eastAsia="Times New Roman" w:hAnsi="Times New Roman"/>
        </w:rPr>
        <w:t xml:space="preserve">As incident.io's 2026 analysis summarizes: </w:t>
      </w:r>
    </w:p>
    <w:p>
      <w:pPr>
        <w:pBdr>
          <w:left w:val="single" w:color="444444" w:sz="12" w:space="8"/>
        </w:pBdr>
        <w:spacing w:before="120" w:after="120"/>
        <w:ind w:left="720" w:right="720"/>
        <w:jc w:val="both"/>
      </w:pPr>
      <w:r>
        <w:rPr>
          <w:i/>
          <w:iCs/>
          <w:sz w:val="22"/>
          <w:szCs w:val="22"/>
          <w:rFonts w:ascii="Times New Roman" w:cs="Times New Roman" w:eastAsia="Times New Roman" w:hAnsi="Times New Roman"/>
        </w:rPr>
        <w:t xml:space="preserve">AIOps identifies that something is related but doesn't explain why. Useful, but fundamentally reactive and limited to detection. AI SRE — the newer approach — uses generative, agentic models capable of multi-step reasoning. The shift is from detecting to explaining.</w:t>
      </w:r>
    </w:p>
    <w:p>
      <w:pPr>
        <w:spacing w:before="80" w:after="120"/>
        <w:jc w:val="both"/>
      </w:pPr>
      <w:r>
        <w:rPr>
          <w:sz w:val="22"/>
          <w:szCs w:val="22"/>
          <w:rFonts w:ascii="Times New Roman" w:cs="Times New Roman" w:eastAsia="Times New Roman" w:hAnsi="Times New Roman"/>
        </w:rPr>
        <w:t xml:space="preserve">AI SRE, as a distinct discipline, uses large language models and agentic frameworks to go beyond anomaly detection. An AI SRE system investigates: it queries logs and metrics, correlates observability signals with recent code changes, and surfaces likely root causes with supporting evidence. It coordinates: it pages the right teams based on service ownership and auto-populates incident channels. And in some implementations, it remediates: rolling back deployments, scaling resources, or restarting services with full audit trails.</w:t>
      </w:r>
    </w:p>
    <w:p>
      <w:pPr>
        <w:spacing w:before="200" w:after="80"/>
      </w:pPr>
      <w:r>
        <w:rPr>
          <w:b/>
          <w:bCs/>
          <w:i/>
          <w:iCs/>
          <w:sz w:val="22"/>
          <w:szCs w:val="22"/>
          <w:rFonts w:ascii="Times New Roman" w:cs="Times New Roman" w:eastAsia="Times New Roman" w:hAnsi="Times New Roman"/>
        </w:rPr>
        <w:t xml:space="preserve">3.2 Market Trajectory</w:t>
      </w:r>
    </w:p>
    <w:p>
      <w:pPr>
        <w:spacing w:before="80" w:after="120"/>
        <w:jc w:val="both"/>
      </w:pPr>
      <w:r>
        <w:rPr>
          <w:sz w:val="22"/>
          <w:szCs w:val="22"/>
          <w:rFonts w:ascii="Times New Roman" w:cs="Times New Roman" w:eastAsia="Times New Roman" w:hAnsi="Times New Roman"/>
        </w:rPr>
        <w:t xml:space="preserve">Gartner's Predicts 2026 report projects that </w:t>
      </w:r>
      <w:r>
        <w:rPr>
          <w:b/>
          <w:bCs/>
          <w:sz w:val="22"/>
          <w:szCs w:val="22"/>
          <w:rFonts w:ascii="Times New Roman" w:cs="Times New Roman" w:eastAsia="Times New Roman" w:hAnsi="Times New Roman"/>
        </w:rPr>
        <w:t xml:space="preserve">by 2029, 70% of enterprises will deploy agentic AI agents to operate their IT infrastructure</w:t>
      </w:r>
      <w:r>
        <w:rPr>
          <w:sz w:val="22"/>
          <w:szCs w:val="22"/>
          <w:rFonts w:ascii="Times New Roman" w:cs="Times New Roman" w:eastAsia="Times New Roman" w:hAnsi="Times New Roman"/>
        </w:rPr>
        <w:t xml:space="preserve">, up from less than 5% in 2025. This is not a niche or speculative category — it is a wave that is already accelerating.</w:t>
      </w:r>
    </w:p>
    <w:p>
      <w:pPr>
        <w:spacing w:before="80" w:after="120"/>
        <w:jc w:val="both"/>
      </w:pPr>
      <w:r>
        <w:rPr>
          <w:sz w:val="22"/>
          <w:szCs w:val="22"/>
          <w:rFonts w:ascii="Times New Roman" w:cs="Times New Roman" w:eastAsia="Times New Roman" w:hAnsi="Times New Roman"/>
        </w:rPr>
        <w:t xml:space="preserve">The 2026 Gartner Market Guide for AI SRE Tooling has already named representative vendors including Komodor and Lightrun, and the broader ecosystem of AI-native investigation tools is expanding rapidly. Teams that today rely on manual log-diving are increasingly likely to adopt some form of AI investigation assistance within the next 24 months.</w:t>
      </w:r>
    </w:p>
    <w:p>
      <w:pPr>
        <w:spacing w:before="80" w:after="120"/>
        <w:jc w:val="both"/>
      </w:pPr>
      <w:r>
        <w:rPr>
          <w:sz w:val="22"/>
          <w:szCs w:val="22"/>
          <w:rFonts w:ascii="Times New Roman" w:cs="Times New Roman" w:eastAsia="Times New Roman" w:hAnsi="Times New Roman"/>
        </w:rPr>
        <w:t xml:space="preserve">For SentinelOps, this trajectory is a tailwind. The question is not whether this market will grow — it will — but whether a focused, graph-native, small-team-first entrant can establish a wedge before the enterprise platforms expand downmarket.</w:t>
      </w:r>
    </w:p>
    <w:p>
      <w:pPr>
        <w:spacing w:before="320" w:after="120"/>
      </w:pPr>
      <w:r>
        <w:rPr>
          <w:b/>
          <w:bCs/>
          <w:sz w:val="24"/>
          <w:szCs w:val="24"/>
          <w:rFonts w:ascii="Times New Roman" w:cs="Times New Roman" w:eastAsia="Times New Roman" w:hAnsi="Times New Roman"/>
        </w:rPr>
        <w:t xml:space="preserve">4. Competitive Landscape Analysis</w:t>
      </w:r>
    </w:p>
    <w:p>
      <w:pPr>
        <w:spacing w:before="200" w:after="80"/>
      </w:pPr>
      <w:r>
        <w:rPr>
          <w:b/>
          <w:bCs/>
          <w:i/>
          <w:iCs/>
          <w:sz w:val="22"/>
          <w:szCs w:val="22"/>
          <w:rFonts w:ascii="Times New Roman" w:cs="Times New Roman" w:eastAsia="Times New Roman" w:hAnsi="Times New Roman"/>
        </w:rPr>
        <w:t xml:space="preserve">4.1 Overview</w:t>
      </w:r>
    </w:p>
    <w:p>
      <w:pPr>
        <w:spacing w:before="80" w:after="120"/>
        <w:jc w:val="both"/>
      </w:pPr>
      <w:r>
        <w:rPr>
          <w:sz w:val="22"/>
          <w:szCs w:val="22"/>
          <w:rFonts w:ascii="Times New Roman" w:cs="Times New Roman" w:eastAsia="Times New Roman" w:hAnsi="Times New Roman"/>
        </w:rPr>
        <w:t xml:space="preserve">The current AI SRE and incident triage tool landscape spans three architectural archetypes: telemetry-based correlators, workflow-first coordinators, and graph-native reasoners. Each archetype has different strengths, different target customers, and different blind spots.</w:t>
      </w:r>
    </w:p>
    <w:p>
      <w:pPr>
        <w:spacing w:before="80" w:after="120"/>
        <w:jc w:val="both"/>
      </w:pPr>
      <w:r>
        <w:rPr>
          <w:sz w:val="22"/>
          <w:szCs w:val="22"/>
          <w:rFonts w:ascii="Times New Roman" w:cs="Times New Roman" w:eastAsia="Times New Roman" w:hAnsi="Times New Roman"/>
        </w:rPr>
        <w:t xml:space="preserve">The following table presents a structured comparison of twelve major platforms across these dimensions: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rPr>
          <w:tblHeader/>
        </w:trPr>
        <w:tc>
          <w:tcPr>
            <w:tcW w:type="dxa" w:w="1600"/>
            <w:tcBorders>
              <w:top w:val="single" w:color="AAAAAA" w:sz="1"/>
              <w:left w:val="single" w:color="AAAAAA" w:sz="1"/>
              <w:bottom w:val="single" w:color="AAAAAA" w:sz="1"/>
              <w:right w:val="single" w:color="AAAAAA" w:sz="1"/>
            </w:tcBorders>
            <w:shd w:fill="1A1A2E" w:val="clear"/>
            <w:tcMar>
              <w:top w:type="dxa" w:w="80"/>
              <w:left w:type="dxa" w:w="100"/>
              <w:bottom w:type="dxa" w:w="80"/>
              <w:right w:type="dxa" w:w="100"/>
            </w:tcMar>
          </w:tcPr>
          <w:p>
            <w:r>
              <w:rPr>
                <w:b/>
                <w:bCs/>
                <w:color w:val="FFFFFF"/>
                <w:sz w:val="18"/>
                <w:szCs w:val="18"/>
                <w:rFonts w:ascii="Times New Roman" w:cs="Times New Roman" w:eastAsia="Times New Roman" w:hAnsi="Times New Roman"/>
              </w:rPr>
              <w:t xml:space="preserve">Tool</w:t>
            </w:r>
          </w:p>
        </w:tc>
        <w:tc>
          <w:tcPr>
            <w:tcW w:type="dxa" w:w="2500"/>
            <w:tcBorders>
              <w:top w:val="single" w:color="AAAAAA" w:sz="1"/>
              <w:left w:val="single" w:color="AAAAAA" w:sz="1"/>
              <w:bottom w:val="single" w:color="AAAAAA" w:sz="1"/>
              <w:right w:val="single" w:color="AAAAAA" w:sz="1"/>
            </w:tcBorders>
            <w:shd w:fill="1A1A2E" w:val="clear"/>
            <w:tcMar>
              <w:top w:type="dxa" w:w="80"/>
              <w:left w:type="dxa" w:w="100"/>
              <w:bottom w:type="dxa" w:w="80"/>
              <w:right w:type="dxa" w:w="100"/>
            </w:tcMar>
          </w:tcPr>
          <w:p>
            <w:r>
              <w:rPr>
                <w:b/>
                <w:bCs/>
                <w:color w:val="FFFFFF"/>
                <w:sz w:val="18"/>
                <w:szCs w:val="18"/>
                <w:rFonts w:ascii="Times New Roman" w:cs="Times New Roman" w:eastAsia="Times New Roman" w:hAnsi="Times New Roman"/>
              </w:rPr>
              <w:t xml:space="preserve">Core Strength</w:t>
            </w:r>
          </w:p>
        </w:tc>
        <w:tc>
          <w:tcPr>
            <w:tcW w:type="dxa" w:w="2500"/>
            <w:tcBorders>
              <w:top w:val="single" w:color="AAAAAA" w:sz="1"/>
              <w:left w:val="single" w:color="AAAAAA" w:sz="1"/>
              <w:bottom w:val="single" w:color="AAAAAA" w:sz="1"/>
              <w:right w:val="single" w:color="AAAAAA" w:sz="1"/>
            </w:tcBorders>
            <w:shd w:fill="1A1A2E" w:val="clear"/>
            <w:tcMar>
              <w:top w:type="dxa" w:w="80"/>
              <w:left w:type="dxa" w:w="100"/>
              <w:bottom w:type="dxa" w:w="80"/>
              <w:right w:type="dxa" w:w="100"/>
            </w:tcMar>
          </w:tcPr>
          <w:p>
            <w:r>
              <w:rPr>
                <w:b/>
                <w:bCs/>
                <w:color w:val="FFFFFF"/>
                <w:sz w:val="18"/>
                <w:szCs w:val="18"/>
                <w:rFonts w:ascii="Times New Roman" w:cs="Times New Roman" w:eastAsia="Times New Roman" w:hAnsi="Times New Roman"/>
              </w:rPr>
              <w:t xml:space="preserve">Critical Limitation</w:t>
            </w:r>
          </w:p>
        </w:tc>
        <w:tc>
          <w:tcPr>
            <w:tcW w:type="dxa" w:w="2760"/>
            <w:tcBorders>
              <w:top w:val="single" w:color="AAAAAA" w:sz="1"/>
              <w:left w:val="single" w:color="AAAAAA" w:sz="1"/>
              <w:bottom w:val="single" w:color="AAAAAA" w:sz="1"/>
              <w:right w:val="single" w:color="AAAAAA" w:sz="1"/>
            </w:tcBorders>
            <w:shd w:fill="1A1A2E" w:val="clear"/>
            <w:tcMar>
              <w:top w:type="dxa" w:w="80"/>
              <w:left w:type="dxa" w:w="100"/>
              <w:bottom w:type="dxa" w:w="80"/>
              <w:right w:type="dxa" w:w="100"/>
            </w:tcMar>
          </w:tcPr>
          <w:p>
            <w:r>
              <w:rPr>
                <w:b/>
                <w:bCs/>
                <w:color w:val="FFFFFF"/>
                <w:sz w:val="18"/>
                <w:szCs w:val="18"/>
                <w:rFonts w:ascii="Times New Roman" w:cs="Times New Roman" w:eastAsia="Times New Roman" w:hAnsi="Times New Roman"/>
              </w:rPr>
              <w:t xml:space="preserve">Gap vs SentinelOps</w:t>
            </w:r>
          </w:p>
        </w:tc>
      </w:tr>
      <w:tr>
        <w:tc>
          <w:tcPr>
            <w:tcW w:type="dxa" w:w="16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Datadog Bits AI</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Deep telemetry — metrics, logs, traces unified in one platform</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Expensive; requires full Datadog ecosystem buy-in; no graph-native reasoning</w:t>
            </w:r>
          </w:p>
        </w:tc>
        <w:tc>
          <w:tcPr>
            <w:tcW w:type="dxa" w:w="27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Priced out of small teams; correlation not traversal</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Dynatrace Davis AI</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Real-time topology map + deterministic causal analysis; 9-year track record</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Enterprise-only; massive setup overhead; six-figure commitments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Closest technically — but zero accessibility for startups</w:t>
            </w:r>
          </w:p>
        </w:tc>
      </w:tr>
      <w:tr>
        <w:tc>
          <w:tcPr>
            <w:tcW w:type="dxa" w:w="16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PagerDuty</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Alert routing, on-call scheduling, escalation management</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No infrastructure graph; no topology awareness; change tracking needs third-party integrations</w:t>
            </w:r>
          </w:p>
        </w:tc>
        <w:tc>
          <w:tcPr>
            <w:tcW w:type="dxa" w:w="27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Alerts only — no reasoning, no causality</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Rootly</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Full incident lifecycle: detection through retrospective analytics; IDE via MCP</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Workflow and coordination tool — not a causal reasoning engine</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Tells you how to respond, not why it broke</w:t>
            </w:r>
          </w:p>
        </w:tc>
      </w:tr>
      <w:tr>
        <w:tc>
          <w:tcPr>
            <w:tcW w:type="dxa" w:w="16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FireHydrant</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AI-generated summaries, retrospectives, status updates</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Not suited for deep telemetry-heavy root cause analysis</w:t>
            </w:r>
          </w:p>
        </w:tc>
        <w:tc>
          <w:tcPr>
            <w:tcW w:type="dxa" w:w="27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Documentation multiplier, not an investigator</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Incident.io AI SRE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AI investigation within mature incident workflow platform</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Still evolving in investigation depth vs. dedicated tools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Workflow-first, investigation-second</w:t>
            </w:r>
          </w:p>
        </w:tc>
      </w:tr>
      <w:tr>
        <w:tc>
          <w:tcPr>
            <w:tcW w:type="dxa" w:w="16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Komodor / Klaudia</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Kubernetes specialist — 95% accuracy on K8s incidents</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Kubernetes-only; useless for IAM, networking, DBs, cross-cloud</w:t>
            </w:r>
          </w:p>
        </w:tc>
        <w:tc>
          <w:tcPr>
            <w:tcW w:type="dxa" w:w="27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Irrelevant to non-Kubernetes stacks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Metoro</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eBPF auto-instrumentation, 1-minute install, zero code changes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Kubernetes-only; no incident management; costs grow with cluster size</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Same constraint as Komodor — K8s-only</w:t>
            </w:r>
          </w:p>
        </w:tc>
      </w:tr>
      <w:tr>
        <w:tc>
          <w:tcPr>
            <w:tcW w:type="dxa" w:w="16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Sherlocks.ai</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Cross-signal correlation across logs, metrics, traces</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Output quality depends on integration coverage; Slack-centric workflow</w:t>
            </w:r>
          </w:p>
        </w:tc>
        <w:tc>
          <w:tcPr>
            <w:tcW w:type="dxa" w:w="27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Closest workflow competitor — no graph model</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Anyshift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Versioned infrastructure graph; proactive risk detection + RCA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Enterprise pricing; opaque costs; no small-team story</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Most similar conceptually — but built for enterprises only</w:t>
            </w:r>
          </w:p>
        </w:tc>
      </w:tr>
      <w:tr>
        <w:tc>
          <w:tcPr>
            <w:tcW w:type="dxa" w:w="16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Lightrun</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Runtime-verified RCA — inspects live execution at failure point</w:t>
            </w:r>
          </w:p>
        </w:tc>
        <w:tc>
          <w:tcPr>
            <w:tcW w:type="dxa" w:w="25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Enterprise-only; no public trial; contact-for-pricing</w:t>
            </w:r>
          </w:p>
        </w:tc>
        <w:tc>
          <w:tcPr>
            <w:tcW w:type="dxa" w:w="27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tcPr>
          <w:p>
            <w:r>
              <w:rPr>
                <w:sz w:val="18"/>
                <w:szCs w:val="18"/>
                <w:rFonts w:ascii="Times New Roman" w:cs="Times New Roman" w:eastAsia="Times New Roman" w:hAnsi="Times New Roman"/>
              </w:rPr>
              <w:t xml:space="preserve">Too complex and too expensive for small teams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Resolve.ai</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Multi-agent, platform-agnostic; generates PRs and kubectl commands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Custom enterprise pricing; built for Coinbase-scale operations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sz w:val="18"/>
                <w:szCs w:val="18"/>
                <w:rFonts w:ascii="Times New Roman" w:cs="Times New Roman" w:eastAsia="Times New Roman" w:hAnsi="Times New Roman"/>
              </w:rPr>
              <w:t xml:space="preserve">Overkill — not priced or designed for small teams</w:t>
            </w:r>
          </w:p>
        </w:tc>
      </w:tr>
    </w:tbl>
    <w:p>
      <w:pPr>
        <w:spacing w:before="60" w:after="160"/>
        <w:jc w:val="center"/>
      </w:pPr>
      <w:r>
        <w:rPr>
          <w:i/>
          <w:iCs/>
          <w:color w:val="555555"/>
          <w:sz w:val="18"/>
          <w:szCs w:val="18"/>
          <w:rFonts w:ascii="Times New Roman" w:cs="Times New Roman" w:eastAsia="Times New Roman" w:hAnsi="Times New Roman"/>
        </w:rPr>
        <w:t xml:space="preserve">Table 1: Comparative analysis of major AI SRE and incident triage platforms (May 2026)</w:t>
      </w:r>
    </w:p>
    <w:p>
      <w:pPr>
        <w:spacing w:before="0" w:after="0"/>
      </w:pPr>
    </w:p>
    <w:p>
      <w:pPr>
        <w:spacing w:before="200" w:after="80"/>
      </w:pPr>
      <w:r>
        <w:rPr>
          <w:b/>
          <w:bCs/>
          <w:i/>
          <w:iCs/>
          <w:sz w:val="22"/>
          <w:szCs w:val="22"/>
          <w:rFonts w:ascii="Times New Roman" w:cs="Times New Roman" w:eastAsia="Times New Roman" w:hAnsi="Times New Roman"/>
        </w:rPr>
        <w:t xml:space="preserve">4.2 Architectural Archetypes</w:t>
      </w:r>
    </w:p>
    <w:p>
      <w:pPr>
        <w:spacing w:before="80" w:after="120"/>
        <w:jc w:val="both"/>
      </w:pPr>
      <w:r>
        <w:rPr>
          <w:sz w:val="22"/>
          <w:szCs w:val="22"/>
          <w:rFonts w:ascii="Times New Roman" w:cs="Times New Roman" w:eastAsia="Times New Roman" w:hAnsi="Times New Roman"/>
        </w:rPr>
        <w:t xml:space="preserve">Three architectural patterns dominate the space:</w:t>
      </w:r>
    </w:p>
    <w:p>
      <w:pPr>
        <w:spacing w:before="80" w:after="120"/>
        <w:jc w:val="both"/>
      </w:pPr>
      <w:r>
        <w:rPr>
          <w:b/>
          <w:bCs/>
          <w:sz w:val="22"/>
          <w:szCs w:val="22"/>
          <w:rFonts w:ascii="Times New Roman" w:cs="Times New Roman" w:eastAsia="Times New Roman" w:hAnsi="Times New Roman"/>
        </w:rPr>
        <w:t xml:space="preserve">Telemetry-Based Correlators</w:t>
      </w:r>
      <w:r>
        <w:rPr>
          <w:sz w:val="22"/>
          <w:szCs w:val="22"/>
          <w:rFonts w:ascii="Times New Roman" w:cs="Times New Roman" w:eastAsia="Times New Roman" w:hAnsi="Times New Roman"/>
        </w:rPr>
        <w:t xml:space="preserve"> — Platforms like Datadog Bits AI, Sherlocks.ai, and NeuBird ingest observability data (metrics, logs, traces) and use pattern-matching or LLM reasoning to surface probable causes. Their strength is breadth — any signal that can be ingested can be correlated. Their weakness is depth: correlation is not causation, and without structural knowledge of service dependencies, these systems can surface likely causes without tracing the actual failure path.</w:t>
      </w:r>
    </w:p>
    <w:p>
      <w:pPr>
        <w:spacing w:before="80" w:after="120"/>
        <w:jc w:val="both"/>
      </w:pPr>
      <w:r>
        <w:rPr>
          <w:b/>
          <w:bCs/>
          <w:sz w:val="22"/>
          <w:szCs w:val="22"/>
          <w:rFonts w:ascii="Times New Roman" w:cs="Times New Roman" w:eastAsia="Times New Roman" w:hAnsi="Times New Roman"/>
        </w:rPr>
        <w:t xml:space="preserve">Workflow-First Coordinators</w:t>
      </w:r>
      <w:r>
        <w:rPr>
          <w:sz w:val="22"/>
          <w:szCs w:val="22"/>
          <w:rFonts w:ascii="Times New Roman" w:cs="Times New Roman" w:eastAsia="Times New Roman" w:hAnsi="Times New Roman"/>
        </w:rPr>
        <w:t xml:space="preserve"> — Platforms like Rootly, FireHydrant, and PagerDuty own the incident lifecycle: alert routing, on-call management, status pages, retrospectives. Their AI additions are primarily documentation multipliers — generating summaries, drafting postmortems, suggesting similar incidents. They are excellent at the human coordination layer but are not designed for deep causal investigation.</w:t>
      </w:r>
    </w:p>
    <w:p>
      <w:pPr>
        <w:spacing w:before="80" w:after="120"/>
        <w:jc w:val="both"/>
      </w:pPr>
      <w:r>
        <w:rPr>
          <w:b/>
          <w:bCs/>
          <w:sz w:val="22"/>
          <w:szCs w:val="22"/>
          <w:rFonts w:ascii="Times New Roman" w:cs="Times New Roman" w:eastAsia="Times New Roman" w:hAnsi="Times New Roman"/>
        </w:rPr>
        <w:t xml:space="preserve">Graph-Native Reasoners</w:t>
      </w:r>
      <w:r>
        <w:rPr>
          <w:sz w:val="22"/>
          <w:szCs w:val="22"/>
          <w:rFonts w:ascii="Times New Roman" w:cs="Times New Roman" w:eastAsia="Times New Roman" w:hAnsi="Times New Roman"/>
        </w:rPr>
        <w:t xml:space="preserve"> — The smallest and most technically sophisticated category. Dynatrace's Davis AI uses a Smartscape real-time topology map alongside deterministic causal analysis. Anyshift uses a versioned infrastructure graph to trace failures through dependency chains. Komodor uses a Kubernetes-native graph of pods, deployments, and services. These tools are the most accurate at identifying why an incident occurred — but they are also the most expensive and the most complex to deploy.</w:t>
      </w:r>
    </w:p>
    <w:p>
      <w:pPr>
        <w:spacing w:before="200" w:after="80"/>
      </w:pPr>
      <w:r>
        <w:rPr>
          <w:b/>
          <w:bCs/>
          <w:i/>
          <w:iCs/>
          <w:sz w:val="22"/>
          <w:szCs w:val="22"/>
          <w:rFonts w:ascii="Times New Roman" w:cs="Times New Roman" w:eastAsia="Times New Roman" w:hAnsi="Times New Roman"/>
        </w:rPr>
        <w:t xml:space="preserve">4.3 The Kubernetes Concentration Problem</w:t>
      </w:r>
    </w:p>
    <w:p>
      <w:pPr>
        <w:spacing w:before="80" w:after="120"/>
        <w:jc w:val="both"/>
      </w:pPr>
      <w:r>
        <w:rPr>
          <w:sz w:val="22"/>
          <w:szCs w:val="22"/>
          <w:rFonts w:ascii="Times New Roman" w:cs="Times New Roman" w:eastAsia="Times New Roman" w:hAnsi="Times New Roman"/>
        </w:rPr>
        <w:t xml:space="preserve">A striking pattern in the 2026 AI SRE landscape is how many specialized tools are Kubernetes-only. Komodor, Metoro, and several emerging platforms have built exceptional depth within the Kubernetes domain — and zero coverage outside it. For the significant portion of small engineering teams running simpler or mixed infrastructure, this represents a structural gap in the market.</w:t>
      </w:r>
    </w:p>
    <w:p>
      <w:pPr>
        <w:spacing w:before="80" w:after="120"/>
        <w:jc w:val="both"/>
      </w:pPr>
      <w:r>
        <w:rPr>
          <w:sz w:val="22"/>
          <w:szCs w:val="22"/>
          <w:rFonts w:ascii="Times New Roman" w:cs="Times New Roman" w:eastAsia="Times New Roman" w:hAnsi="Times New Roman"/>
        </w:rPr>
        <w:t xml:space="preserve">Komodor's Klaudia agent achieves 95% accuracy on Kubernetes incidents. That number is irrelevant to a 12-person startup running three Node.js services on managed cloud infrastructure with a PostgreSQL database. Their incident will not be a pod crash. It will be an upstream API timeout cascading through their service graph. No Kubernetes-native tool helps them.</w:t>
      </w:r>
    </w:p>
    <w:p>
      <w:pPr>
        <w:spacing w:before="200" w:after="80"/>
      </w:pPr>
      <w:r>
        <w:rPr>
          <w:b/>
          <w:bCs/>
          <w:i/>
          <w:iCs/>
          <w:sz w:val="22"/>
          <w:szCs w:val="22"/>
          <w:rFonts w:ascii="Times New Roman" w:cs="Times New Roman" w:eastAsia="Times New Roman" w:hAnsi="Times New Roman"/>
        </w:rPr>
        <w:t xml:space="preserve">4.4 The Enterprise Pricing Barrier</w:t>
      </w:r>
    </w:p>
    <w:p>
      <w:pPr>
        <w:spacing w:before="80" w:after="120"/>
        <w:jc w:val="both"/>
      </w:pPr>
      <w:r>
        <w:rPr>
          <w:sz w:val="22"/>
          <w:szCs w:val="22"/>
          <w:rFonts w:ascii="Times New Roman" w:cs="Times New Roman" w:eastAsia="Times New Roman" w:hAnsi="Times New Roman"/>
        </w:rPr>
        <w:t xml:space="preserve">The most technically sophisticated tools in this space — Dynatrace, Lightrun, Resolve.ai, Anyshift — share a common commercial pattern: enterprise pricing, contact-for-quote, no self-serve trial. This is not accidental. These platforms were built for large organizations with compliance requirements, dedicated procurement teams, and six-figure tool budgets.</w:t>
      </w:r>
    </w:p>
    <w:p>
      <w:pPr>
        <w:spacing w:before="80" w:after="120"/>
        <w:jc w:val="both"/>
      </w:pPr>
      <w:r>
        <w:rPr>
          <w:sz w:val="22"/>
          <w:szCs w:val="22"/>
          <w:rFonts w:ascii="Times New Roman" w:cs="Times New Roman" w:eastAsia="Times New Roman" w:hAnsi="Times New Roman"/>
        </w:rPr>
        <w:t xml:space="preserve">The 5–50 engineer startup does not have a procurement team. They have a credit card and a month-to-month tolerance. The pricing structures of the most capable AI SRE platforms create an effective floor beneath which no quality solution exists — and that floor is where SentinelOps operates.</w:t>
      </w:r>
    </w:p>
    <w:p>
      <w:pPr>
        <w:spacing w:before="320" w:after="120"/>
      </w:pPr>
      <w:r>
        <w:rPr>
          <w:b/>
          <w:bCs/>
          <w:sz w:val="24"/>
          <w:szCs w:val="24"/>
          <w:rFonts w:ascii="Times New Roman" w:cs="Times New Roman" w:eastAsia="Times New Roman" w:hAnsi="Times New Roman"/>
        </w:rPr>
        <w:t xml:space="preserve">5. The SentinelOps Thesis</w:t>
      </w:r>
    </w:p>
    <w:p>
      <w:pPr>
        <w:spacing w:before="200" w:after="80"/>
      </w:pPr>
      <w:r>
        <w:rPr>
          <w:b/>
          <w:bCs/>
          <w:i/>
          <w:iCs/>
          <w:sz w:val="22"/>
          <w:szCs w:val="22"/>
          <w:rFonts w:ascii="Times New Roman" w:cs="Times New Roman" w:eastAsia="Times New Roman" w:hAnsi="Times New Roman"/>
        </w:rPr>
        <w:t xml:space="preserve">5.1 Core Positioning</w:t>
      </w:r>
    </w:p>
    <w:p>
      <w:pPr>
        <w:spacing w:before="80" w:after="120"/>
        <w:jc w:val="both"/>
      </w:pPr>
      <w:r>
        <w:rPr>
          <w:sz w:val="22"/>
          <w:szCs w:val="22"/>
          <w:rFonts w:ascii="Times New Roman" w:cs="Times New Roman" w:eastAsia="Times New Roman" w:hAnsi="Times New Roman"/>
        </w:rPr>
        <w:t xml:space="preserve">SentinelOps is positioned as the AI SRE that thinks in nodes and edges — a system that models the entire production infrastructure as a live knowledge graph and traverses it to reason about failures the way a senior engineer would, but in seconds rather than minutes.</w:t>
      </w:r>
    </w:p>
    <w:p>
      <w:pPr>
        <w:spacing w:before="80" w:after="120"/>
        <w:jc w:val="both"/>
      </w:pPr>
      <w:r>
        <w:rPr>
          <w:sz w:val="22"/>
          <w:szCs w:val="22"/>
          <w:rFonts w:ascii="Times New Roman" w:cs="Times New Roman" w:eastAsia="Times New Roman" w:hAnsi="Times New Roman"/>
        </w:rPr>
        <w:t xml:space="preserve">The one-line identity: "Operational reasoning for modern engineering teams."</w:t>
      </w:r>
    </w:p>
    <w:p>
      <w:pPr>
        <w:spacing w:before="80" w:after="120"/>
        <w:jc w:val="both"/>
      </w:pPr>
      <w:r>
        <w:rPr>
          <w:sz w:val="22"/>
          <w:szCs w:val="22"/>
          <w:rFonts w:ascii="Times New Roman" w:cs="Times New Roman" w:eastAsia="Times New Roman" w:hAnsi="Times New Roman"/>
        </w:rPr>
        <w:t xml:space="preserve">The sell line: "Reduces incident triage from 45 minutes to 3 minutes."</w:t>
      </w:r>
    </w:p>
    <w:p>
      <w:pPr>
        <w:spacing w:before="200" w:after="80"/>
      </w:pPr>
      <w:r>
        <w:rPr>
          <w:b/>
          <w:bCs/>
          <w:i/>
          <w:iCs/>
          <w:sz w:val="22"/>
          <w:szCs w:val="22"/>
          <w:rFonts w:ascii="Times New Roman" w:cs="Times New Roman" w:eastAsia="Times New Roman" w:hAnsi="Times New Roman"/>
        </w:rPr>
        <w:t xml:space="preserve">5.2 Why Graph-Native is the Right Foundation</w:t>
      </w:r>
    </w:p>
    <w:p>
      <w:pPr>
        <w:spacing w:before="80" w:after="120"/>
        <w:jc w:val="both"/>
      </w:pPr>
      <w:r>
        <w:rPr>
          <w:sz w:val="22"/>
          <w:szCs w:val="22"/>
          <w:rFonts w:ascii="Times New Roman" w:cs="Times New Roman" w:eastAsia="Times New Roman" w:hAnsi="Times New Roman"/>
        </w:rPr>
        <w:t xml:space="preserve">Every experienced SRE's mental model of a production system is already a graph. Relationships between services, dependencies, data flows, deployment coupling — these are not tabular data. They are networks. A relational database can store them. A graph database can traverse them natively, with semantics that map directly to the questions an SRE asks during an incident.</w:t>
      </w:r>
    </w:p>
    <w:p>
      <w:pPr>
        <w:spacing w:before="80" w:after="120"/>
        <w:jc w:val="both"/>
      </w:pPr>
      <w:r>
        <w:rPr>
          <w:sz w:val="22"/>
          <w:szCs w:val="22"/>
          <w:rFonts w:ascii="Times New Roman" w:cs="Times New Roman" w:eastAsia="Times New Roman" w:hAnsi="Times New Roman"/>
        </w:rPr>
        <w:t xml:space="preserve">Consider the key incident investigation queries:</w:t>
      </w:r>
    </w:p>
    <w:p>
      <w:pPr>
        <w:pStyle w:val="ListParagraph"/>
        <w:numPr>
          <w:ilvl w:val="0"/>
          <w:numId w:val="3"/>
        </w:numPr>
        <w:spacing w:before="40" w:after="40"/>
      </w:pPr>
      <w:r>
        <w:rPr>
          <w:b w:val="false"/>
          <w:bCs w:val="false"/>
          <w:sz w:val="22"/>
          <w:szCs w:val="22"/>
          <w:rFonts w:ascii="Times New Roman" w:cs="Times New Roman" w:eastAsia="Times New Roman" w:hAnsi="Times New Roman"/>
        </w:rPr>
        <w:t xml:space="preserve">"Which services depend on the service that just spiked?" — graph traversal: MATCH (s:Service)-[:DEPENDS_ON]-&gt;(failed:Service)</w:t>
      </w:r>
    </w:p>
    <w:p>
      <w:pPr>
        <w:pStyle w:val="ListParagraph"/>
        <w:numPr>
          <w:ilvl w:val="0"/>
          <w:numId w:val="3"/>
        </w:numPr>
        <w:spacing w:before="40" w:after="40"/>
      </w:pPr>
      <w:r>
        <w:rPr>
          <w:b w:val="false"/>
          <w:bCs w:val="false"/>
          <w:sz w:val="22"/>
          <w:szCs w:val="22"/>
          <w:rFonts w:ascii="Times New Roman" w:cs="Times New Roman" w:eastAsia="Times New Roman" w:hAnsi="Times New Roman"/>
        </w:rPr>
        <w:t xml:space="preserve">"What is the blast radius if this service goes down?" — shortest path + reachability query</w:t>
      </w:r>
    </w:p>
    <w:p>
      <w:pPr>
        <w:pStyle w:val="ListParagraph"/>
        <w:numPr>
          <w:ilvl w:val="0"/>
          <w:numId w:val="3"/>
        </w:numPr>
        <w:spacing w:before="40" w:after="40"/>
      </w:pPr>
      <w:r>
        <w:rPr>
          <w:b w:val="false"/>
          <w:bCs w:val="false"/>
          <w:sz w:val="22"/>
          <w:szCs w:val="22"/>
          <w:rFonts w:ascii="Times New Roman" w:cs="Times New Roman" w:eastAsia="Times New Roman" w:hAnsi="Times New Roman"/>
        </w:rPr>
        <w:t xml:space="preserve">"Has this failure topology appeared before?" — subgraph matching against historical incident patterns</w:t>
      </w:r>
    </w:p>
    <w:p>
      <w:pPr>
        <w:pStyle w:val="ListParagraph"/>
        <w:numPr>
          <w:ilvl w:val="0"/>
          <w:numId w:val="3"/>
        </w:numPr>
        <w:spacing w:before="40" w:after="40"/>
      </w:pPr>
      <w:r>
        <w:rPr>
          <w:b w:val="false"/>
          <w:bCs w:val="false"/>
          <w:sz w:val="22"/>
          <w:szCs w:val="22"/>
          <w:rFonts w:ascii="Times New Roman" w:cs="Times New Roman" w:eastAsia="Times New Roman" w:hAnsi="Times New Roman"/>
        </w:rPr>
        <w:t xml:space="preserve">"What changed in the last 30 minutes that touched this service cluster?" — temporal graph query across deploy nodes</w:t>
      </w:r>
    </w:p>
    <w:p>
      <w:pPr>
        <w:spacing w:before="80" w:after="120"/>
        <w:jc w:val="both"/>
      </w:pPr>
      <w:r>
        <w:rPr>
          <w:sz w:val="22"/>
          <w:szCs w:val="22"/>
          <w:rFonts w:ascii="Times New Roman" w:cs="Times New Roman" w:eastAsia="Times New Roman" w:hAnsi="Times New Roman"/>
        </w:rPr>
        <w:t xml:space="preserve">Neo4j AuraDB is not merely a technology choice for the HackHazards track requirement. It is the architecturally correct substrate for a causal reasoning system. The queries above are not approximations in Neo4j — they are native, efficient, and semantically precise. The same queries against a relational schema or a flat telemetry store require joins, aggregations, and manual correlation that is both slower and less expressive.</w:t>
      </w:r>
    </w:p>
    <w:p>
      <w:pPr>
        <w:spacing w:before="200" w:after="80"/>
      </w:pPr>
      <w:r>
        <w:rPr>
          <w:b/>
          <w:bCs/>
          <w:i/>
          <w:iCs/>
          <w:sz w:val="22"/>
          <w:szCs w:val="22"/>
          <w:rFonts w:ascii="Times New Roman" w:cs="Times New Roman" w:eastAsia="Times New Roman" w:hAnsi="Times New Roman"/>
        </w:rPr>
        <w:t xml:space="preserve">5.3 The Competitive Gap SentinelOps Fills</w:t>
      </w:r>
    </w:p>
    <w:p>
      <w:pPr>
        <w:spacing w:before="80" w:after="120"/>
        <w:jc w:val="both"/>
      </w:pPr>
      <w:r>
        <w:rPr>
          <w:sz w:val="22"/>
          <w:szCs w:val="22"/>
          <w:rFonts w:ascii="Times New Roman" w:cs="Times New Roman" w:eastAsia="Times New Roman" w:hAnsi="Times New Roman"/>
        </w:rPr>
        <w:t xml:space="preserve">Based on the competitive analysis in Section 4, the specific unoccupied position in the AI SRE landscape is:</w:t>
      </w:r>
    </w:p>
    <w:p>
      <w:pPr>
        <w:pBdr>
          <w:left w:val="single" w:color="444444" w:sz="12" w:space="8"/>
        </w:pBdr>
        <w:spacing w:before="120" w:after="120"/>
        <w:ind w:left="720" w:right="720"/>
        <w:jc w:val="both"/>
      </w:pPr>
      <w:r>
        <w:rPr>
          <w:i/>
          <w:iCs/>
          <w:sz w:val="22"/>
          <w:szCs w:val="22"/>
          <w:rFonts w:ascii="Times New Roman" w:cs="Times New Roman" w:eastAsia="Times New Roman" w:hAnsi="Times New Roman"/>
        </w:rPr>
        <w:t xml:space="preserve">Graph-native causal reasoning, for non-Kubernetes, non-enterprise engineering teams, at startup-accessible pricing, with a simple integration model.</w:t>
      </w:r>
    </w:p>
    <w:p>
      <w:pPr>
        <w:spacing w:before="80" w:after="120"/>
        <w:jc w:val="both"/>
      </w:pPr>
      <w:r>
        <w:rPr>
          <w:sz w:val="22"/>
          <w:szCs w:val="22"/>
          <w:rFonts w:ascii="Times New Roman" w:cs="Times New Roman" w:eastAsia="Times New Roman" w:hAnsi="Times New Roman"/>
        </w:rPr>
        <w:t xml:space="preserve">The positioning matrix below maps the twelve tools analyzed against the dimensions that define this gap:</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AAAAAA" w:sz="1"/>
              <w:left w:val="single" w:color="AAAAAA" w:sz="1"/>
              <w:bottom w:val="single" w:color="AAAAAA" w:sz="1"/>
              <w:right w:val="single" w:color="AAAAAA" w:sz="1"/>
            </w:tcBorders>
            <w:shd w:fill="16213E" w:val="clear"/>
            <w:tcMar>
              <w:top w:type="dxa" w:w="80"/>
              <w:left w:type="dxa" w:w="100"/>
              <w:bottom w:type="dxa" w:w="80"/>
              <w:right w:type="dxa" w:w="100"/>
            </w:tcMar>
          </w:tcPr>
          <w:p>
            <w:r>
              <w:rPr>
                <w:b/>
                <w:bCs/>
                <w:color w:val="FFFFFF"/>
                <w:sz w:val="18"/>
                <w:szCs w:val="18"/>
                <w:rFonts w:ascii="Times New Roman" w:cs="Times New Roman" w:eastAsia="Times New Roman" w:hAnsi="Times New Roman"/>
              </w:rPr>
              <w:t xml:space="preserve">Dimension</w:t>
            </w:r>
          </w:p>
        </w:tc>
        <w:tc>
          <w:tcPr>
            <w:tcW w:type="dxa" w:w="2200"/>
            <w:tcBorders>
              <w:top w:val="single" w:color="AAAAAA" w:sz="1"/>
              <w:left w:val="single" w:color="AAAAAA" w:sz="1"/>
              <w:bottom w:val="single" w:color="AAAAAA" w:sz="1"/>
              <w:right w:val="single" w:color="AAAAAA" w:sz="1"/>
            </w:tcBorders>
            <w:shd w:fill="16213E" w:val="clear"/>
            <w:tcMar>
              <w:top w:type="dxa" w:w="80"/>
              <w:left w:type="dxa" w:w="100"/>
              <w:bottom w:type="dxa" w:w="80"/>
              <w:right w:type="dxa" w:w="100"/>
            </w:tcMar>
          </w:tcPr>
          <w:p>
            <w:r>
              <w:rPr>
                <w:b/>
                <w:bCs/>
                <w:color w:val="FFFFFF"/>
                <w:sz w:val="18"/>
                <w:szCs w:val="18"/>
                <w:rFonts w:ascii="Times New Roman" w:cs="Times New Roman" w:eastAsia="Times New Roman" w:hAnsi="Times New Roman"/>
              </w:rPr>
              <w:t xml:space="preserve">Enterprise Tools</w:t>
            </w:r>
          </w:p>
        </w:tc>
        <w:tc>
          <w:tcPr>
            <w:tcW w:type="dxa" w:w="2200"/>
            <w:tcBorders>
              <w:top w:val="single" w:color="AAAAAA" w:sz="1"/>
              <w:left w:val="single" w:color="AAAAAA" w:sz="1"/>
              <w:bottom w:val="single" w:color="AAAAAA" w:sz="1"/>
              <w:right w:val="single" w:color="AAAAAA" w:sz="1"/>
            </w:tcBorders>
            <w:shd w:fill="16213E" w:val="clear"/>
            <w:tcMar>
              <w:top w:type="dxa" w:w="80"/>
              <w:left w:type="dxa" w:w="100"/>
              <w:bottom w:type="dxa" w:w="80"/>
              <w:right w:type="dxa" w:w="100"/>
            </w:tcMar>
          </w:tcPr>
          <w:p>
            <w:r>
              <w:rPr>
                <w:b/>
                <w:bCs/>
                <w:color w:val="FFFFFF"/>
                <w:sz w:val="18"/>
                <w:szCs w:val="18"/>
                <w:rFonts w:ascii="Times New Roman" w:cs="Times New Roman" w:eastAsia="Times New Roman" w:hAnsi="Times New Roman"/>
              </w:rPr>
              <w:t xml:space="preserve">K8s-Specific Tools</w:t>
            </w:r>
          </w:p>
        </w:tc>
        <w:tc>
          <w:tcPr>
            <w:tcW w:type="dxa" w:w="2760"/>
            <w:tcBorders>
              <w:top w:val="single" w:color="AAAAAA" w:sz="1"/>
              <w:left w:val="single" w:color="AAAAAA" w:sz="1"/>
              <w:bottom w:val="single" w:color="AAAAAA" w:sz="1"/>
              <w:right w:val="single" w:color="AAAAAA" w:sz="1"/>
            </w:tcBorders>
            <w:shd w:fill="16213E" w:val="clear"/>
            <w:tcMar>
              <w:top w:type="dxa" w:w="80"/>
              <w:left w:type="dxa" w:w="100"/>
              <w:bottom w:type="dxa" w:w="80"/>
              <w:right w:type="dxa" w:w="100"/>
            </w:tcMar>
          </w:tcPr>
          <w:p>
            <w:r>
              <w:rPr>
                <w:b/>
                <w:bCs/>
                <w:color w:val="FFFFFF"/>
                <w:sz w:val="18"/>
                <w:szCs w:val="18"/>
                <w:rFonts w:ascii="Times New Roman" w:cs="Times New Roman" w:eastAsia="Times New Roman" w:hAnsi="Times New Roman"/>
              </w:rPr>
              <w:t xml:space="preserve">SentinelOps</w:t>
            </w:r>
          </w:p>
        </w:tc>
      </w:tr>
      <w:tr>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Graph-native reasoning</w:t>
            </w:r>
          </w:p>
        </w:tc>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Dynatrace only</w:t>
            </w:r>
          </w:p>
        </w:tc>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Komodor (K8s graph only)</w:t>
            </w:r>
          </w:p>
        </w:tc>
        <w:tc>
          <w:tcPr>
            <w:tcW w:type="dxa" w:w="276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bCs/>
                <w:color w:val="1A1A6E"/>
                <w:sz w:val="18"/>
                <w:szCs w:val="18"/>
                <w:rFonts w:ascii="Times New Roman" w:cs="Times New Roman" w:eastAsia="Times New Roman" w:hAnsi="Times New Roman"/>
              </w:rPr>
              <w:t xml:space="preserve">Yes — Neo4j AuraDB core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Small team pricing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No</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Partial</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bCs/>
                <w:color w:val="1A1A6E"/>
                <w:sz w:val="18"/>
                <w:szCs w:val="18"/>
                <w:rFonts w:ascii="Times New Roman" w:cs="Times New Roman" w:eastAsia="Times New Roman" w:hAnsi="Times New Roman"/>
              </w:rPr>
              <w:t xml:space="preserve">Yes — designed for it</w:t>
            </w:r>
          </w:p>
        </w:tc>
      </w:tr>
      <w:tr>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Non-K8s support</w:t>
            </w:r>
          </w:p>
        </w:tc>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Yes (complex)</w:t>
            </w:r>
          </w:p>
        </w:tc>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No</w:t>
            </w:r>
          </w:p>
        </w:tc>
        <w:tc>
          <w:tcPr>
            <w:tcW w:type="dxa" w:w="276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bCs/>
                <w:color w:val="1A1A6E"/>
                <w:sz w:val="18"/>
                <w:szCs w:val="18"/>
                <w:rFonts w:ascii="Times New Roman" w:cs="Times New Roman" w:eastAsia="Times New Roman" w:hAnsi="Times New Roman"/>
              </w:rPr>
              <w:t xml:space="preserve">Yes — stack-agnostic</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Causal narrative (LLM)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Partial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Partial</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bCs/>
                <w:color w:val="1A1A6E"/>
                <w:sz w:val="18"/>
                <w:szCs w:val="18"/>
                <w:rFonts w:ascii="Times New Roman" w:cs="Times New Roman" w:eastAsia="Times New Roman" w:hAnsi="Times New Roman"/>
              </w:rPr>
              <w:t xml:space="preserve">Yes — core output</w:t>
            </w:r>
          </w:p>
        </w:tc>
      </w:tr>
      <w:tr>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Auto postmortem</w:t>
            </w:r>
          </w:p>
        </w:tc>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Some</w:t>
            </w:r>
          </w:p>
        </w:tc>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Some</w:t>
            </w:r>
          </w:p>
        </w:tc>
        <w:tc>
          <w:tcPr>
            <w:tcW w:type="dxa" w:w="276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bCs/>
                <w:color w:val="1A1A6E"/>
                <w:sz w:val="18"/>
                <w:szCs w:val="18"/>
                <w:rFonts w:ascii="Times New Roman" w:cs="Times New Roman" w:eastAsia="Times New Roman" w:hAnsi="Times New Roman"/>
              </w:rPr>
              <w:t xml:space="preserve">Yes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Open architecture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No</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No</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bCs/>
                <w:color w:val="1A1A6E"/>
                <w:sz w:val="18"/>
                <w:szCs w:val="18"/>
                <w:rFonts w:ascii="Times New Roman" w:cs="Times New Roman" w:eastAsia="Times New Roman" w:hAnsi="Times New Roman"/>
              </w:rPr>
              <w:t xml:space="preserve">Yes — hackathon-first</w:t>
            </w:r>
          </w:p>
        </w:tc>
      </w:tr>
      <w:tr>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Setup complexity</w:t>
            </w:r>
          </w:p>
        </w:tc>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High</w:t>
            </w:r>
          </w:p>
        </w:tc>
        <w:tc>
          <w:tcPr>
            <w:tcW w:type="dxa" w:w="220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val="false"/>
                <w:bCs w:val="false"/>
                <w:color w:val="000000"/>
                <w:sz w:val="18"/>
                <w:szCs w:val="18"/>
                <w:rFonts w:ascii="Times New Roman" w:cs="Times New Roman" w:eastAsia="Times New Roman" w:hAnsi="Times New Roman"/>
              </w:rPr>
              <w:t xml:space="preserve">Medium</w:t>
            </w:r>
          </w:p>
        </w:tc>
        <w:tc>
          <w:tcPr>
            <w:tcW w:type="dxa" w:w="2760"/>
            <w:tcBorders>
              <w:top w:val="single" w:color="AAAAAA" w:sz="1"/>
              <w:left w:val="single" w:color="AAAAAA" w:sz="1"/>
              <w:bottom w:val="single" w:color="AAAAAA" w:sz="1"/>
              <w:right w:val="single" w:color="AAAAAA" w:sz="1"/>
            </w:tcBorders>
            <w:shd w:fill="EEF2FF" w:val="clear"/>
            <w:tcMar>
              <w:top w:type="dxa" w:w="60"/>
              <w:left w:type="dxa" w:w="100"/>
              <w:bottom w:type="dxa" w:w="60"/>
              <w:right w:type="dxa" w:w="100"/>
            </w:tcMar>
          </w:tcPr>
          <w:p>
            <w:r>
              <w:rPr>
                <w:b/>
                <w:bCs/>
                <w:color w:val="1A1A6E"/>
                <w:sz w:val="18"/>
                <w:szCs w:val="18"/>
                <w:rFonts w:ascii="Times New Roman" w:cs="Times New Roman" w:eastAsia="Times New Roman" w:hAnsi="Times New Roman"/>
              </w:rPr>
              <w:t xml:space="preserve">Low</w:t>
            </w:r>
          </w:p>
        </w:tc>
      </w:tr>
    </w:tbl>
    <w:p>
      <w:pPr>
        <w:spacing w:before="60" w:after="160"/>
        <w:jc w:val="center"/>
      </w:pPr>
      <w:r>
        <w:rPr>
          <w:i/>
          <w:iCs/>
          <w:color w:val="555555"/>
          <w:sz w:val="18"/>
          <w:szCs w:val="18"/>
          <w:rFonts w:ascii="Times New Roman" w:cs="Times New Roman" w:eastAsia="Times New Roman" w:hAnsi="Times New Roman"/>
        </w:rPr>
        <w:t xml:space="preserve">Table 2: Positioning matrix — SentinelOps vs. existing tools across key differentiating dimensions</w:t>
      </w:r>
    </w:p>
    <w:p>
      <w:pPr>
        <w:spacing w:before="0" w:after="0"/>
      </w:pPr>
    </w:p>
    <w:p>
      <w:pPr>
        <w:spacing w:before="80" w:after="120"/>
        <w:jc w:val="both"/>
      </w:pPr>
      <w:r>
        <w:rPr>
          <w:sz w:val="22"/>
          <w:szCs w:val="22"/>
          <w:rFonts w:ascii="Times New Roman" w:cs="Times New Roman" w:eastAsia="Times New Roman" w:hAnsi="Times New Roman"/>
        </w:rPr>
        <w:t xml:space="preserve">The matrix reveals a consistent pattern: every tool with graph-native reasoning is enterprise-only. Every tool accessible to small teams lacks graph-native reasoning. SentinelOps occupies the intersection that no current platform covers.</w:t>
      </w:r>
    </w:p>
    <w:p>
      <w:pPr>
        <w:spacing w:before="200" w:after="80"/>
      </w:pPr>
      <w:r>
        <w:rPr>
          <w:b/>
          <w:bCs/>
          <w:i/>
          <w:iCs/>
          <w:sz w:val="22"/>
          <w:szCs w:val="22"/>
          <w:rFonts w:ascii="Times New Roman" w:cs="Times New Roman" w:eastAsia="Times New Roman" w:hAnsi="Times New Roman"/>
        </w:rPr>
        <w:t xml:space="preserve">5.4 Technical Architecture</w:t>
      </w:r>
    </w:p>
    <w:p>
      <w:pPr>
        <w:spacing w:before="80" w:after="120"/>
        <w:jc w:val="both"/>
      </w:pPr>
      <w:r>
        <w:rPr>
          <w:sz w:val="22"/>
          <w:szCs w:val="22"/>
          <w:rFonts w:ascii="Times New Roman" w:cs="Times New Roman" w:eastAsia="Times New Roman" w:hAnsi="Times New Roman"/>
        </w:rPr>
        <w:t xml:space="preserve">The SentinelOps system processes incident signals through a four-stage pipeline:</w:t>
      </w:r>
    </w:p>
    <w:p>
      <w:pPr>
        <w:pStyle w:val="ListParagraph"/>
        <w:numPr>
          <w:ilvl w:val="0"/>
          <w:numId w:val="2"/>
        </w:numPr>
        <w:spacing w:before="40" w:after="40"/>
      </w:pPr>
      <w:r>
        <w:rPr>
          <w:sz w:val="22"/>
          <w:szCs w:val="22"/>
          <w:rFonts w:ascii="Times New Roman" w:cs="Times New Roman" w:eastAsia="Times New Roman" w:hAnsi="Times New Roman"/>
        </w:rPr>
        <w:t xml:space="preserve">Input ingestion — GitHub deploy events, CI/CD logs, application logs, metrics, service topology declarations, and alert payloads are ingested via webhook and structured into a canonical event format</w:t>
      </w:r>
    </w:p>
    <w:p>
      <w:pPr>
        <w:pStyle w:val="ListParagraph"/>
        <w:numPr>
          <w:ilvl w:val="0"/>
          <w:numId w:val="2"/>
        </w:numPr>
        <w:spacing w:before="40" w:after="40"/>
      </w:pPr>
      <w:r>
        <w:rPr>
          <w:sz w:val="22"/>
          <w:szCs w:val="22"/>
          <w:rFonts w:ascii="Times New Roman" w:cs="Times New Roman" w:eastAsia="Times New Roman" w:hAnsi="Times New Roman"/>
        </w:rPr>
        <w:t xml:space="preserve">Graph hydration — Ingested events are written to Neo4j AuraDB as typed nodes (Service, Deploy, Commit, Metric, Alert) with typed edges (DEPENDS_ON, TRIGGERED_BY, AFFECTS, PRECEDES). The graph is continuously updated, not queried at incident time — giving real-time topology awareness</w:t>
      </w:r>
    </w:p>
    <w:p>
      <w:pPr>
        <w:pStyle w:val="ListParagraph"/>
        <w:numPr>
          <w:ilvl w:val="0"/>
          <w:numId w:val="2"/>
        </w:numPr>
        <w:spacing w:before="40" w:after="40"/>
      </w:pPr>
      <w:r>
        <w:rPr>
          <w:sz w:val="22"/>
          <w:szCs w:val="22"/>
          <w:rFonts w:ascii="Times New Roman" w:cs="Times New Roman" w:eastAsia="Times New Roman" w:hAnsi="Times New Roman"/>
        </w:rPr>
        <w:t xml:space="preserve">Causal traversal — On incident detection, the RCA engine executes Cypher queries to traverse the graph: identify affected services, trace failure propagation paths, score probable root causes by path weight and temporal proximity to recent deploys</w:t>
      </w:r>
    </w:p>
    <w:p>
      <w:pPr>
        <w:pStyle w:val="ListParagraph"/>
        <w:numPr>
          <w:ilvl w:val="0"/>
          <w:numId w:val="2"/>
        </w:numPr>
        <w:spacing w:before="40" w:after="40"/>
      </w:pPr>
      <w:r>
        <w:rPr>
          <w:sz w:val="22"/>
          <w:szCs w:val="22"/>
          <w:rFonts w:ascii="Times New Roman" w:cs="Times New Roman" w:eastAsia="Times New Roman" w:hAnsi="Times New Roman"/>
        </w:rPr>
        <w:t xml:space="preserve">Narrative generation — The LLM layer receives the structured causal chain — not raw logs — as context, and generates a human-readable incident narrative, remediation recommendation, and postmortem draft. The LLM is not the reasoner; the graph is. The LLM is the translator.</w:t>
      </w:r>
    </w:p>
    <w:p>
      <w:pPr>
        <w:spacing w:before="80" w:after="120"/>
        <w:jc w:val="both"/>
      </w:pPr>
      <w:r>
        <w:rPr>
          <w:sz w:val="22"/>
          <w:szCs w:val="22"/>
          <w:rFonts w:ascii="Times New Roman" w:cs="Times New Roman" w:eastAsia="Times New Roman" w:hAnsi="Times New Roman"/>
        </w:rPr>
        <w:t xml:space="preserve">This architecture has a critical property that most competing systems lack: the AI narrative is grounded in a structural model of the infrastructure, not in statistical correlation of raw signals. That makes it more explainable, more accurate for cascade failures, and more defensible under questioning.</w:t>
      </w:r>
    </w:p>
    <w:p>
      <w:pPr>
        <w:spacing w:before="200" w:after="80"/>
      </w:pPr>
      <w:r>
        <w:rPr>
          <w:b/>
          <w:bCs/>
          <w:i/>
          <w:iCs/>
          <w:sz w:val="22"/>
          <w:szCs w:val="22"/>
          <w:rFonts w:ascii="Times New Roman" w:cs="Times New Roman" w:eastAsia="Times New Roman" w:hAnsi="Times New Roman"/>
        </w:rPr>
        <w:t xml:space="preserve">5.5 The Demo Scenario</w:t>
      </w:r>
    </w:p>
    <w:p>
      <w:pPr>
        <w:spacing w:before="80" w:after="120"/>
        <w:jc w:val="both"/>
      </w:pPr>
      <w:r>
        <w:rPr>
          <w:sz w:val="22"/>
          <w:szCs w:val="22"/>
          <w:rFonts w:ascii="Times New Roman" w:cs="Times New Roman" w:eastAsia="Times New Roman" w:hAnsi="Times New Roman"/>
        </w:rPr>
        <w:t xml:space="preserve">For HackHazards '26, SentinelOps will demonstrate an API cascade failure — a realistic incident type that tests the full pipeline. A new version is deployed. Service latency spikes. The dependency cascade begins. SentinelOps ingests the deploy event, traverses the service graph to identify downstream affected nodes, correlates log anomalies along the failure path, and generates an incident narrative — all within the time it would take a developer to open their monitoring dashboard and orient themselves.</w:t>
      </w:r>
    </w:p>
    <w:p>
      <w:pPr>
        <w:spacing w:before="80" w:after="120"/>
        <w:jc w:val="both"/>
      </w:pPr>
      <w:r>
        <w:rPr>
          <w:sz w:val="22"/>
          <w:szCs w:val="22"/>
          <w:rFonts w:ascii="Times New Roman" w:cs="Times New Roman" w:eastAsia="Times New Roman" w:hAnsi="Times New Roman"/>
        </w:rPr>
        <w:t xml:space="preserve">The demo is designed to be stable and reliable over a revolutionary but fragile demonstration. Judges at scale hackathons are visual creatures with short attention spans. A clear, working system that does one thing demonstrably well is more persuasive than an ambitious system that fails on stage.</w:t>
      </w:r>
    </w:p>
    <w:p>
      <w:pPr>
        <w:spacing w:before="320" w:after="120"/>
      </w:pPr>
      <w:r>
        <w:rPr>
          <w:b/>
          <w:bCs/>
          <w:sz w:val="24"/>
          <w:szCs w:val="24"/>
          <w:rFonts w:ascii="Times New Roman" w:cs="Times New Roman" w:eastAsia="Times New Roman" w:hAnsi="Times New Roman"/>
        </w:rPr>
        <w:t xml:space="preserve">6. Startup Viability Assessment</w:t>
      </w:r>
    </w:p>
    <w:p>
      <w:pPr>
        <w:spacing w:before="200" w:after="80"/>
      </w:pPr>
      <w:r>
        <w:rPr>
          <w:b/>
          <w:bCs/>
          <w:i/>
          <w:iCs/>
          <w:sz w:val="22"/>
          <w:szCs w:val="22"/>
          <w:rFonts w:ascii="Times New Roman" w:cs="Times New Roman" w:eastAsia="Times New Roman" w:hAnsi="Times New Roman"/>
        </w:rPr>
        <w:t xml:space="preserve">6.1 The Case For</w:t>
      </w:r>
    </w:p>
    <w:p>
      <w:pPr>
        <w:spacing w:before="80" w:after="120"/>
        <w:jc w:val="both"/>
      </w:pPr>
      <w:r>
        <w:rPr>
          <w:sz w:val="22"/>
          <w:szCs w:val="22"/>
          <w:rFonts w:ascii="Times New Roman" w:cs="Times New Roman" w:eastAsia="Times New Roman" w:hAnsi="Times New Roman"/>
        </w:rPr>
        <w:t xml:space="preserve">The problem is real. The MTTR gap for small engineering teams is well-documented and genuinely painful. The market is growing — Gartner's 70%-by-2029 projection is a credible tailwind, not a speculative one. The specific positioning — small-team, graph-native, non-K8s — is legitimately unoccupied by well-funded competition. And the Neo4j foundation provides a technical moat that "AI plus logs" competitors cannot easily replicate.</w:t>
      </w:r>
    </w:p>
    <w:p>
      <w:pPr>
        <w:spacing w:before="80" w:after="120"/>
        <w:jc w:val="both"/>
      </w:pPr>
      <w:r>
        <w:rPr>
          <w:sz w:val="22"/>
          <w:szCs w:val="22"/>
          <w:rFonts w:ascii="Times New Roman" w:cs="Times New Roman" w:eastAsia="Times New Roman" w:hAnsi="Times New Roman"/>
        </w:rPr>
        <w:t xml:space="preserve">The competitive analysis also reveals that the most similar tool — Anyshift — is enterprise-only. That is not a warning sign for SentinelOps; it is a validation that the graph-native approach works at a product level. The gap is commercial, not technical.</w:t>
      </w:r>
    </w:p>
    <w:p>
      <w:pPr>
        <w:spacing w:before="200" w:after="80"/>
      </w:pPr>
      <w:r>
        <w:rPr>
          <w:b/>
          <w:bCs/>
          <w:i/>
          <w:iCs/>
          <w:sz w:val="22"/>
          <w:szCs w:val="22"/>
          <w:rFonts w:ascii="Times New Roman" w:cs="Times New Roman" w:eastAsia="Times New Roman" w:hAnsi="Times New Roman"/>
        </w:rPr>
        <w:t xml:space="preserve">6.2 The Case Against</w:t>
      </w:r>
    </w:p>
    <w:p>
      <w:pPr>
        <w:spacing w:before="80" w:after="120"/>
        <w:jc w:val="both"/>
      </w:pPr>
      <w:r>
        <w:rPr>
          <w:sz w:val="22"/>
          <w:szCs w:val="22"/>
          <w:rFonts w:ascii="Times New Roman" w:cs="Times New Roman" w:eastAsia="Times New Roman" w:hAnsi="Times New Roman"/>
        </w:rPr>
        <w:t xml:space="preserve">The category is not empty and it is moving fast. Dynatrace has been doing topology-aware causal analysis since 2017. Komodor tripled its ARR after launching Klaudia. Rootly, incident.io, and FireHydrant are all well-funded and expanding their AI capabilities. The window for a new entrant to establish a wedge before enterprise platforms expand downmarket is real but not infinite.</w:t>
      </w:r>
    </w:p>
    <w:p>
      <w:pPr>
        <w:spacing w:before="80" w:after="120"/>
        <w:jc w:val="both"/>
      </w:pPr>
      <w:r>
        <w:rPr>
          <w:sz w:val="22"/>
          <w:szCs w:val="22"/>
          <w:rFonts w:ascii="Times New Roman" w:cs="Times New Roman" w:eastAsia="Times New Roman" w:hAnsi="Times New Roman"/>
        </w:rPr>
        <w:t xml:space="preserve">The distribution challenge is also significant. Developer tools are notoriously hard to sell. Small engineering teams are resistant to adding new tools unless the integration cost is nearly zero and the value is immediately obvious. SentinelOps must achieve both — a sub-five-minute integration path and a visible, dramatic improvement in the first incident it handles.</w:t>
      </w:r>
    </w:p>
    <w:p>
      <w:pPr>
        <w:spacing w:before="200" w:after="80"/>
      </w:pPr>
      <w:r>
        <w:rPr>
          <w:b/>
          <w:bCs/>
          <w:i/>
          <w:iCs/>
          <w:sz w:val="22"/>
          <w:szCs w:val="22"/>
          <w:rFonts w:ascii="Times New Roman" w:cs="Times New Roman" w:eastAsia="Times New Roman" w:hAnsi="Times New Roman"/>
        </w:rPr>
        <w:t xml:space="preserve">6.3 The Validation Required</w:t>
      </w:r>
    </w:p>
    <w:p>
      <w:pPr>
        <w:spacing w:before="80" w:after="120"/>
        <w:jc w:val="both"/>
      </w:pPr>
      <w:r>
        <w:rPr>
          <w:sz w:val="22"/>
          <w:szCs w:val="22"/>
          <w:rFonts w:ascii="Times New Roman" w:cs="Times New Roman" w:eastAsia="Times New Roman" w:hAnsi="Times New Roman"/>
        </w:rPr>
        <w:t xml:space="preserve">Before treating SentinelOps as a startup rather than a hackathon project, the following questions must be answered through direct customer discovery:</w:t>
      </w:r>
    </w:p>
    <w:p>
      <w:pPr>
        <w:pStyle w:val="ListParagraph"/>
        <w:numPr>
          <w:ilvl w:val="0"/>
          <w:numId w:val="2"/>
        </w:numPr>
        <w:spacing w:before="40" w:after="40"/>
      </w:pPr>
      <w:r>
        <w:rPr>
          <w:sz w:val="22"/>
          <w:szCs w:val="22"/>
          <w:rFonts w:ascii="Times New Roman" w:cs="Times New Roman" w:eastAsia="Times New Roman" w:hAnsi="Times New Roman"/>
        </w:rPr>
        <w:t xml:space="preserve">When production breaks, what is the actual triage process for a 10–30 person engineering team? Is it chaos, or do they have working informal systems?</w:t>
      </w:r>
    </w:p>
    <w:p>
      <w:pPr>
        <w:pStyle w:val="ListParagraph"/>
        <w:numPr>
          <w:ilvl w:val="0"/>
          <w:numId w:val="2"/>
        </w:numPr>
        <w:spacing w:before="40" w:after="40"/>
      </w:pPr>
      <w:r>
        <w:rPr>
          <w:sz w:val="22"/>
          <w:szCs w:val="22"/>
          <w:rFonts w:ascii="Times New Roman" w:cs="Times New Roman" w:eastAsia="Times New Roman" w:hAnsi="Times New Roman"/>
        </w:rPr>
        <w:t xml:space="preserve">What tools do they currently use? Is the barrier cost, complexity, or lack of awareness?</w:t>
      </w:r>
    </w:p>
    <w:p>
      <w:pPr>
        <w:pStyle w:val="ListParagraph"/>
        <w:numPr>
          <w:ilvl w:val="0"/>
          <w:numId w:val="2"/>
        </w:numPr>
        <w:spacing w:before="40" w:after="40"/>
      </w:pPr>
      <w:r>
        <w:rPr>
          <w:sz w:val="22"/>
          <w:szCs w:val="22"/>
          <w:rFonts w:ascii="Times New Roman" w:cs="Times New Roman" w:eastAsia="Times New Roman" w:hAnsi="Times New Roman"/>
        </w:rPr>
        <w:t xml:space="preserve">Would they pay $49/month for automatic causal explanation? What would make the tool worth the integration overhead?</w:t>
      </w:r>
    </w:p>
    <w:p>
      <w:pPr>
        <w:pStyle w:val="ListParagraph"/>
        <w:numPr>
          <w:ilvl w:val="0"/>
          <w:numId w:val="2"/>
        </w:numPr>
        <w:spacing w:before="40" w:after="40"/>
      </w:pPr>
      <w:r>
        <w:rPr>
          <w:sz w:val="22"/>
          <w:szCs w:val="22"/>
          <w:rFonts w:ascii="Times New Roman" w:cs="Times New Roman" w:eastAsia="Times New Roman" w:hAnsi="Times New Roman"/>
        </w:rPr>
        <w:t xml:space="preserve">How often do they experience cascade failures vs. simple single-service incidents? The graph model is most valuable for cascades.</w:t>
      </w:r>
    </w:p>
    <w:p>
      <w:pPr>
        <w:pStyle w:val="ListParagraph"/>
        <w:numPr>
          <w:ilvl w:val="0"/>
          <w:numId w:val="2"/>
        </w:numPr>
        <w:spacing w:before="40" w:after="40"/>
      </w:pPr>
      <w:r>
        <w:rPr>
          <w:sz w:val="22"/>
          <w:szCs w:val="22"/>
          <w:rFonts w:ascii="Times New Roman" w:cs="Times New Roman" w:eastAsia="Times New Roman" w:hAnsi="Times New Roman"/>
        </w:rPr>
        <w:t xml:space="preserve">What is their infrastructure? If the majority run Kubernetes, the K8s-specialist tools already serve them.</w:t>
      </w:r>
    </w:p>
    <w:p>
      <w:pPr>
        <w:spacing w:before="80" w:after="120"/>
        <w:jc w:val="both"/>
      </w:pPr>
      <w:r>
        <w:rPr>
          <w:sz w:val="22"/>
          <w:szCs w:val="22"/>
          <w:rFonts w:ascii="Times New Roman" w:cs="Times New Roman" w:eastAsia="Times New Roman" w:hAnsi="Times New Roman"/>
        </w:rPr>
        <w:t xml:space="preserve">The recommendation is direct: talk to twenty engineering managers at companies with 10–50 engineers before assuming the wedge holds. The problem is real. Whether SentinelOps is the specific solution those customers will pay for is a hypothesis, not a fact.</w:t>
      </w:r>
    </w:p>
    <w:p>
      <w:pPr>
        <w:spacing w:before="200" w:after="80"/>
      </w:pPr>
      <w:r>
        <w:rPr>
          <w:b/>
          <w:bCs/>
          <w:i/>
          <w:iCs/>
          <w:sz w:val="22"/>
          <w:szCs w:val="22"/>
          <w:rFonts w:ascii="Times New Roman" w:cs="Times New Roman" w:eastAsia="Times New Roman" w:hAnsi="Times New Roman"/>
        </w:rPr>
        <w:t xml:space="preserve">6.4 Honest Verdict</w:t>
      </w:r>
    </w:p>
    <w:p>
      <w:pPr>
        <w:spacing w:before="80" w:after="120"/>
        <w:jc w:val="both"/>
      </w:pPr>
      <w:r>
        <w:rPr>
          <w:b/>
          <w:bCs/>
          <w:sz w:val="22"/>
          <w:szCs w:val="22"/>
          <w:rFonts w:ascii="Times New Roman" w:cs="Times New Roman" w:eastAsia="Times New Roman" w:hAnsi="Times New Roman"/>
        </w:rPr>
        <w:t xml:space="preserve">For HackHazards '26: </w:t>
      </w:r>
      <w:r>
        <w:rPr>
          <w:sz w:val="22"/>
          <w:szCs w:val="22"/>
          <w:rFonts w:ascii="Times New Roman" w:cs="Times New Roman" w:eastAsia="Times New Roman" w:hAnsi="Times New Roman"/>
        </w:rPr>
        <w:t xml:space="preserve">Top-tier concept. Top 10% of projects the team will compete against. Strong technical story, defensible positioning, and a demo scenario that can be made visually compelling.</w:t>
      </w:r>
    </w:p>
    <w:p>
      <w:pPr>
        <w:spacing w:before="80" w:after="120"/>
        <w:jc w:val="both"/>
      </w:pPr>
      <w:r>
        <w:rPr>
          <w:b/>
          <w:bCs/>
          <w:sz w:val="22"/>
          <w:szCs w:val="22"/>
          <w:rFonts w:ascii="Times New Roman" w:cs="Times New Roman" w:eastAsia="Times New Roman" w:hAnsi="Times New Roman"/>
        </w:rPr>
        <w:t xml:space="preserve">For a startup: </w:t>
      </w:r>
      <w:r>
        <w:rPr>
          <w:sz w:val="22"/>
          <w:szCs w:val="22"/>
          <w:rFonts w:ascii="Times New Roman" w:cs="Times New Roman" w:eastAsia="Times New Roman" w:hAnsi="Times New Roman"/>
        </w:rPr>
        <w:t xml:space="preserve">Promising but unvalidated. Real problem, real gap, real market trajectory. Not automatically a company without direct customer evidence.</w:t>
      </w:r>
    </w:p>
    <w:p>
      <w:pPr>
        <w:spacing w:before="320" w:after="120"/>
      </w:pPr>
      <w:r>
        <w:rPr>
          <w:b/>
          <w:bCs/>
          <w:sz w:val="24"/>
          <w:szCs w:val="24"/>
          <w:rFonts w:ascii="Times New Roman" w:cs="Times New Roman" w:eastAsia="Times New Roman" w:hAnsi="Times New Roman"/>
        </w:rPr>
        <w:t xml:space="preserve">7. Conclusions</w:t>
      </w:r>
    </w:p>
    <w:p>
      <w:pPr>
        <w:spacing w:before="80" w:after="120"/>
        <w:jc w:val="both"/>
      </w:pPr>
      <w:r>
        <w:rPr>
          <w:sz w:val="22"/>
          <w:szCs w:val="22"/>
          <w:rFonts w:ascii="Times New Roman" w:cs="Times New Roman" w:eastAsia="Times New Roman" w:hAnsi="Times New Roman"/>
        </w:rPr>
        <w:t xml:space="preserve">The AI SRE category is real, growing, and increasingly important for engineering teams at every scale. The 2026 landscape has produced sophisticated tools that serve large enterprises and Kubernetes-heavy teams exceptionally well. The gap that remains — graph-native causal reasoning for small, non-Kubernetes teams at accessible pricing — is not being served by any current well-funded platform.</w:t>
      </w:r>
    </w:p>
    <w:p>
      <w:pPr>
        <w:spacing w:before="80" w:after="120"/>
        <w:jc w:val="both"/>
      </w:pPr>
      <w:r>
        <w:rPr>
          <w:sz w:val="22"/>
          <w:szCs w:val="22"/>
          <w:rFonts w:ascii="Times New Roman" w:cs="Times New Roman" w:eastAsia="Times New Roman" w:hAnsi="Times New Roman"/>
        </w:rPr>
        <w:t xml:space="preserve">SentinelOps proposes to fill that gap by modeling infrastructure as a live Neo4j knowledge graph and traversing it autonomously when incidents occur — producing causal narratives, blast radius maps, and remediation recommendations that replace the 45-minute manual triage process with a 3-minute automated one.</w:t>
      </w:r>
    </w:p>
    <w:p>
      <w:pPr>
        <w:spacing w:before="80" w:after="120"/>
        <w:jc w:val="both"/>
      </w:pPr>
      <w:r>
        <w:rPr>
          <w:sz w:val="22"/>
          <w:szCs w:val="22"/>
          <w:rFonts w:ascii="Times New Roman" w:cs="Times New Roman" w:eastAsia="Times New Roman" w:hAnsi="Times New Roman"/>
        </w:rPr>
        <w:t xml:space="preserve">The Neo4j AuraDB foundation is not a track-requirement compromise. It is the architecturally correct choice for a system whose core value is relationship traversal — asking not just "what broke?" but "what broke, what caused it, what depends on it, and what should we do?" Those are graph questions, and Neo4j answers them natively.</w:t>
      </w:r>
    </w:p>
    <w:p>
      <w:pPr>
        <w:spacing w:before="80" w:after="120"/>
        <w:jc w:val="both"/>
      </w:pPr>
      <w:r>
        <w:rPr>
          <w:sz w:val="22"/>
          <w:szCs w:val="22"/>
          <w:rFonts w:ascii="Times New Roman" w:cs="Times New Roman" w:eastAsia="Times New Roman" w:hAnsi="Times New Roman"/>
        </w:rPr>
        <w:t xml:space="preserve">The immediate objective is HackHazards '26. The longer-term question — whether SentinelOps is a startup — requires twenty customer conversations before it has an answer. The research supports the hypothesis. The market will decide the verdict.</w:t>
      </w:r>
    </w:p>
    <w:p>
      <w:pPr>
        <w:pBdr>
          <w:bottom w:val="single" w:color="CCCCCC" w:sz="3" w:space="1"/>
        </w:pBdr>
        <w:spacing w:before="200" w:after="200"/>
      </w:pPr>
    </w:p>
    <w:p>
      <w:pPr>
        <w:spacing w:before="200" w:after="120"/>
      </w:pPr>
      <w:r>
        <w:rPr>
          <w:b/>
          <w:bCs/>
          <w:sz w:val="24"/>
          <w:szCs w:val="24"/>
          <w:rFonts w:ascii="Times New Roman" w:cs="Times New Roman" w:eastAsia="Times New Roman" w:hAnsi="Times New Roman"/>
        </w:rPr>
        <w:t xml:space="preserve">References &amp; Sources</w:t>
      </w:r>
    </w:p>
    <w:p>
      <w:pPr>
        <w:spacing w:before="80" w:after="120"/>
        <w:jc w:val="both"/>
      </w:pPr>
      <w:r>
        <w:rPr>
          <w:sz w:val="22"/>
          <w:szCs w:val="22"/>
          <w:rFonts w:ascii="Times New Roman" w:cs="Times New Roman" w:eastAsia="Times New Roman" w:hAnsi="Times New Roman"/>
        </w:rPr>
        <w:t xml:space="preserve">[1] Catchpoint. (2025). State of the Internet Performance Report. On-call stress and SRE burnout metrics.</w:t>
      </w:r>
    </w:p>
    <w:p>
      <w:pPr>
        <w:spacing w:before="80" w:after="120"/>
        <w:jc w:val="both"/>
      </w:pPr>
      <w:r>
        <w:rPr>
          <w:sz w:val="22"/>
          <w:szCs w:val="22"/>
          <w:rFonts w:ascii="Times New Roman" w:cs="Times New Roman" w:eastAsia="Times New Roman" w:hAnsi="Times New Roman"/>
        </w:rPr>
        <w:t xml:space="preserve">[2] DORA Research. (2025). State of AI-Assisted Software Development Report. Incident-per-PR increase data.</w:t>
      </w:r>
    </w:p>
    <w:p>
      <w:pPr>
        <w:spacing w:before="80" w:after="120"/>
        <w:jc w:val="both"/>
      </w:pPr>
      <w:r>
        <w:rPr>
          <w:sz w:val="22"/>
          <w:szCs w:val="22"/>
          <w:rFonts w:ascii="Times New Roman" w:cs="Times New Roman" w:eastAsia="Times New Roman" w:hAnsi="Times New Roman"/>
        </w:rPr>
        <w:t xml:space="preserve">[3] Gartner. (2026). Predicts 2026: AI Agents Will Transform IT Infrastructure and Operations. 70% enterprise AI SRE projection.</w:t>
      </w:r>
    </w:p>
    <w:p>
      <w:pPr>
        <w:spacing w:before="80" w:after="120"/>
        <w:jc w:val="both"/>
      </w:pPr>
      <w:r>
        <w:rPr>
          <w:sz w:val="22"/>
          <w:szCs w:val="22"/>
          <w:rFonts w:ascii="Times New Roman" w:cs="Times New Roman" w:eastAsia="Times New Roman" w:hAnsi="Times New Roman"/>
        </w:rPr>
        <w:t xml:space="preserve">[4] Gartner. (2026). Market Guide for AI SRE Tooling. Representative vendor listings.</w:t>
      </w:r>
    </w:p>
    <w:p>
      <w:pPr>
        <w:spacing w:before="80" w:after="120"/>
        <w:jc w:val="both"/>
      </w:pPr>
      <w:r>
        <w:rPr>
          <w:sz w:val="22"/>
          <w:szCs w:val="22"/>
          <w:rFonts w:ascii="Times New Roman" w:cs="Times New Roman" w:eastAsia="Times New Roman" w:hAnsi="Times New Roman"/>
        </w:rPr>
        <w:t xml:space="preserve">[5] incident.io. (2026). AI SRE Explained: What it is, how it works, and the human vs. AI reality. Retrieved from incident.io/blog.</w:t>
      </w:r>
    </w:p>
    <w:p>
      <w:pPr>
        <w:spacing w:before="80" w:after="120"/>
        <w:jc w:val="both"/>
      </w:pPr>
      <w:r>
        <w:rPr>
          <w:sz w:val="22"/>
          <w:szCs w:val="22"/>
          <w:rFonts w:ascii="Times New Roman" w:cs="Times New Roman" w:eastAsia="Times New Roman" w:hAnsi="Times New Roman"/>
        </w:rPr>
        <w:t xml:space="preserve">[6] Metoro. (2026). Top AI SRE Tools in 2026: The Complete Comparison. Retrieved from metoro.io/blog.</w:t>
      </w:r>
    </w:p>
    <w:p>
      <w:pPr>
        <w:spacing w:before="80" w:after="120"/>
        <w:jc w:val="both"/>
      </w:pPr>
      <w:r>
        <w:rPr>
          <w:sz w:val="22"/>
          <w:szCs w:val="22"/>
          <w:rFonts w:ascii="Times New Roman" w:cs="Times New Roman" w:eastAsia="Times New Roman" w:hAnsi="Times New Roman"/>
        </w:rPr>
        <w:t xml:space="preserve">[7] Sherlocks.ai. (2026). Top AI SRE Tools in 2026: The Complete Comparison. Retrieved from sherlocks.ai/blog.</w:t>
      </w:r>
    </w:p>
    <w:p>
      <w:pPr>
        <w:spacing w:before="80" w:after="120"/>
        <w:jc w:val="both"/>
      </w:pPr>
      <w:r>
        <w:rPr>
          <w:sz w:val="22"/>
          <w:szCs w:val="22"/>
          <w:rFonts w:ascii="Times New Roman" w:cs="Times New Roman" w:eastAsia="Times New Roman" w:hAnsi="Times New Roman"/>
        </w:rPr>
        <w:t xml:space="preserve">[8] Anyshift. (2026). Top 10 AI SRE Tools in 2026: A Comprehensive Comparison. Retrieved from anyshift.io/blog.</w:t>
      </w:r>
    </w:p>
    <w:p>
      <w:pPr>
        <w:spacing w:before="80" w:after="120"/>
        <w:jc w:val="both"/>
      </w:pPr>
      <w:r>
        <w:rPr>
          <w:sz w:val="22"/>
          <w:szCs w:val="22"/>
          <w:rFonts w:ascii="Times New Roman" w:cs="Times New Roman" w:eastAsia="Times New Roman" w:hAnsi="Times New Roman"/>
        </w:rPr>
        <w:t xml:space="preserve">[9] Rootly. (2026). Top DevOps Incident Management Tools for SRE Teams. Retrieved from rootly.com.</w:t>
      </w:r>
    </w:p>
    <w:p>
      <w:pPr>
        <w:spacing w:before="80" w:after="120"/>
        <w:jc w:val="both"/>
      </w:pPr>
      <w:r>
        <w:rPr>
          <w:sz w:val="22"/>
          <w:szCs w:val="22"/>
          <w:rFonts w:ascii="Times New Roman" w:cs="Times New Roman" w:eastAsia="Times New Roman" w:hAnsi="Times New Roman"/>
        </w:rPr>
        <w:t xml:space="preserve">[10] DevOps.com. (2025). AIOps for SRE — Using AI to Reduce On-Call Fatigue and Improve Reliability.</w:t>
      </w:r>
    </w:p>
    <w:p>
      <w:pPr>
        <w:spacing w:before="80" w:after="120"/>
        <w:jc w:val="both"/>
      </w:pPr>
      <w:r>
        <w:rPr>
          <w:sz w:val="22"/>
          <w:szCs w:val="22"/>
          <w:rFonts w:ascii="Times New Roman" w:cs="Times New Roman" w:eastAsia="Times New Roman" w:hAnsi="Times New Roman"/>
        </w:rPr>
        <w:t xml:space="preserve">[11] NeuBird. (2026). Top 20 AI SRE Tools in 2026: The Complete Guide. Retrieved from neubird.ai/blog.</w:t>
      </w:r>
    </w:p>
    <w:p>
      <w:pPr>
        <w:spacing w:before="80" w:after="120"/>
        <w:jc w:val="both"/>
      </w:pPr>
      <w:r>
        <w:rPr>
          <w:sz w:val="22"/>
          <w:szCs w:val="22"/>
          <w:rFonts w:ascii="Times New Roman" w:cs="Times New Roman" w:eastAsia="Times New Roman" w:hAnsi="Times New Roman"/>
        </w:rPr>
        <w:t xml:space="preserve">[12] StackGen. (2026). The Complete Buyer's Guide to AI SRE Tools. Retrieved from stackgen.com/blog.</w:t>
      </w:r>
    </w:p>
    <w:p>
      <w:pPr>
        <w:spacing w:before="80" w:after="120"/>
        <w:jc w:val="both"/>
      </w:pPr>
      <w:r>
        <w:rPr>
          <w:sz w:val="22"/>
          <w:szCs w:val="22"/>
          <w:rFonts w:ascii="Times New Roman" w:cs="Times New Roman" w:eastAsia="Times New Roman" w:hAnsi="Times New Roman"/>
        </w:rPr>
        <w:t xml:space="preserve">[13] Flexera. (2025). State of the Cloud Report. Multi-cloud adoption metrics.</w:t>
      </w:r>
    </w:p>
    <w:p>
      <w:pPr>
        <w:spacing w:before="80" w:after="120"/>
        <w:jc w:val="both"/>
      </w:pPr>
      <w:r>
        <w:rPr>
          <w:sz w:val="22"/>
          <w:szCs w:val="22"/>
          <w:rFonts w:ascii="Times New Roman" w:cs="Times New Roman" w:eastAsia="Times New Roman" w:hAnsi="Times New Roman"/>
        </w:rPr>
        <w:t xml:space="preserve">[14] State of Incident Management. (2025). Operational toil and AI investment data.</w:t>
      </w:r>
    </w:p>
    <w:p>
      <w:pPr>
        <w:pBdr>
          <w:bottom w:val="single" w:color="CCCCCC" w:sz="3" w:space="1"/>
        </w:pBdr>
        <w:spacing w:before="200" w:after="200"/>
      </w:pPr>
    </w:p>
    <w:p>
      <w:pPr>
        <w:spacing w:before="200" w:after="0"/>
        <w:jc w:val="center"/>
      </w:pPr>
      <w:r>
        <w:rPr>
          <w:i/>
          <w:iCs/>
          <w:color w:val="999999"/>
          <w:sz w:val="18"/>
          <w:szCs w:val="18"/>
          <w:rFonts w:ascii="Times New Roman" w:cs="Times New Roman" w:eastAsia="Times New Roman" w:hAnsi="Times New Roman"/>
        </w:rPr>
        <w:t xml:space="preserve">SentinelOps Research Paper v1.0 | HackHazards '26 | May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spacing w:before="100" w:after="0"/>
      <w:jc w:val="center"/>
    </w:pPr>
    <w:r>
      <w:rPr>
        <w:color w:val="999999"/>
        <w:sz w:val="16"/>
        <w:szCs w:val="16"/>
        <w:rFonts w:ascii="Times New Roman" w:cs="Times New Roman" w:eastAsia="Times New Roman" w:hAnsi="Times New Roman"/>
      </w:rPr>
      <w:t xml:space="preserve">Ganesh &amp; Team | HackHazards '26 | May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spacing w:before="0" w:after="120"/>
      <w:jc w:val="right"/>
    </w:pPr>
    <w:r>
      <w:rPr>
        <w:i/>
        <w:iCs/>
        <w:color w:val="777777"/>
        <w:sz w:val="16"/>
        <w:szCs w:val="16"/>
        <w:rFonts w:ascii="Times New Roman" w:cs="Times New Roman" w:eastAsia="Times New Roman" w:hAnsi="Times New Roman"/>
      </w:rPr>
      <w:t xml:space="preserve">SentinelOps: Graph-Native AI SRE — Market Research &amp; Positioning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2026-05-11T16:52:51.734Z</dcterms:created>
  <dcterms:modified xsi:type="dcterms:W3CDTF">2026-05-11T16:52:51.735Z</dcterms:modified>
</cp:coreProperties>
</file>

<file path=docProps/custom.xml><?xml version="1.0" encoding="utf-8"?>
<Properties xmlns="http://schemas.openxmlformats.org/officeDocument/2006/custom-properties" xmlns:vt="http://schemas.openxmlformats.org/officeDocument/2006/docPropsVTypes"/>
</file>