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ADRG</w:t>
        <w:br/>
      </w:r>
      <w:r>
        <w:rPr>
          <w:sz w:val="32"/>
        </w:rPr>
        <w:t>(Analysis Data Reviewer's Guide)</w:t>
      </w:r>
    </w:p>
    <w:p/>
    <w:p>
      <w:pPr>
        <w:jc w:val="center"/>
      </w:pPr>
      <w:r>
        <w:rPr>
          <w:b/>
          <w:sz w:val="28"/>
        </w:rPr>
        <w:t>Protocol: 123</w:t>
        <w:br/>
      </w:r>
      <w:r>
        <w:rPr>
          <w:sz w:val="24"/>
        </w:rPr>
        <w:t>er</w:t>
        <w:br/>
        <w:br/>
      </w:r>
      <w:r>
        <w:rPr>
          <w:sz w:val="24"/>
        </w:rPr>
        <w:t>Phase: Phase II</w:t>
        <w:br/>
      </w:r>
      <w:r>
        <w:rPr>
          <w:sz w:val="24"/>
        </w:rPr>
        <w:t>Therapeutic Area: Oncology</w:t>
        <w:br/>
      </w:r>
    </w:p>
    <w:p/>
    <w:p>
      <w:pPr>
        <w:jc w:val="center"/>
      </w:pPr>
      <w:r>
        <w:rPr>
          <w:sz w:val="24"/>
        </w:rPr>
        <w:t xml:space="preserve">Sponsor: </w:t>
        <w:br/>
      </w:r>
    </w:p>
    <w:p>
      <w:pPr>
        <w:jc w:val="center"/>
      </w:pPr>
      <w:r>
        <w:rPr>
          <w:sz w:val="24"/>
        </w:rPr>
        <w:t>Document Date: January 06,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7920" w:val="left"/>
        </w:tabs>
      </w:pPr>
      <w:r>
        <w:rPr>
          <w:sz w:val="24"/>
        </w:rPr>
        <w:t>1. Introduction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2. Study Overview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3. Data Standards and Structure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4. Dataset Specifications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5. Analysis Populations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6. Derived Variables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7. Data Quality and Validation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8. Programming Conventions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Appendix A: Variable Specifications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Appendix B: Derivation Details</w:t>
      </w:r>
      <w:r>
        <w:tab/>
      </w:r>
      <w:r>
        <w:rPr>
          <w:sz w:val="24"/>
        </w:rPr>
        <w:t>...</w:t>
      </w:r>
    </w:p>
    <w:p>
      <w:r>
        <w:rPr>
          <w:i/>
          <w:sz w:val="20"/>
        </w:rPr>
        <w:t>Note: To update page numbers, right-click on this table of contents in Microsoft Word and select 'Update Field'.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ADRG (Analysis Data Reviewer's Guide) provides comprehensive documentation for the analysis datasets and statistical methodologies used in the er.</w:t>
        <w:br/>
        <w:br/>
        <w:t>The purpose of this document is to:</w:t>
        <w:br/>
        <w:t>• Describe the structure and content of analysis datasets</w:t>
        <w:br/>
        <w:t>• Explain data derivation and transformation processes</w:t>
        <w:br/>
        <w:t>• Define analysis populations and key variables</w:t>
        <w:br/>
        <w:t>• Facilitate regulatory review and inspection readiness</w:t>
        <w:br/>
        <w:br/>
        <w:t>This document follows CDISC standards and FDA guidance for analysis dataset documentation.</w:t>
      </w:r>
    </w:p>
    <w:p>
      <w:r>
        <w:br w:type="page"/>
      </w:r>
    </w:p>
    <w:p>
      <w:pPr>
        <w:pStyle w:val="Heading1"/>
      </w:pPr>
      <w:r>
        <w:t>2. Study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t>Study 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Protocol Number</w:t>
            </w:r>
          </w:p>
        </w:tc>
        <w:tc>
          <w:tcPr>
            <w:tcW w:type="dxa" w:w="576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Study Title</w:t>
            </w:r>
          </w:p>
        </w:tc>
        <w:tc>
          <w:tcPr>
            <w:tcW w:type="dxa" w:w="5760"/>
          </w:tcPr>
          <w:p>
            <w:r>
              <w:t>er</w:t>
            </w:r>
          </w:p>
        </w:tc>
      </w:tr>
      <w:tr>
        <w:tc>
          <w:tcPr>
            <w:tcW w:type="dxa" w:w="2880"/>
          </w:tcPr>
          <w:p>
            <w:r>
              <w:t>Study Phase</w:t>
            </w:r>
          </w:p>
        </w:tc>
        <w:tc>
          <w:tcPr>
            <w:tcW w:type="dxa" w:w="5760"/>
          </w:tcPr>
          <w:p>
            <w:r>
              <w:t>Phase II</w:t>
            </w:r>
          </w:p>
        </w:tc>
      </w:tr>
      <w:tr>
        <w:tc>
          <w:tcPr>
            <w:tcW w:type="dxa" w:w="2880"/>
          </w:tcPr>
          <w:p>
            <w:r>
              <w:t>Therapeutic Area</w:t>
            </w:r>
          </w:p>
        </w:tc>
        <w:tc>
          <w:tcPr>
            <w:tcW w:type="dxa" w:w="5760"/>
          </w:tcPr>
          <w:p>
            <w:r>
              <w:t>Oncology</w:t>
            </w:r>
          </w:p>
        </w:tc>
      </w:tr>
      <w:tr>
        <w:tc>
          <w:tcPr>
            <w:tcW w:type="dxa" w:w="2880"/>
          </w:tcPr>
          <w:p>
            <w:r>
              <w:t>Indication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2880"/>
          </w:tcPr>
          <w:p>
            <w:r>
              <w:t>Sponsor</w:t>
            </w:r>
          </w:p>
        </w:tc>
        <w:tc>
          <w:tcPr>
            <w:tcW w:type="dxa" w:w="57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Data Standards and Structure</w:t>
      </w:r>
    </w:p>
    <w:p>
      <w:r>
        <w:t>This study follows CDISC (Clinical Data Interchange Standards Consortium) standards for data structure and content:</w:t>
        <w:br/>
        <w:br/>
        <w:t>3.1 CDISC Standards Compliance</w:t>
        <w:br/>
        <w:t>• SDTM (Study Data Tabulation Model) v1.4 for tabulation datasets</w:t>
        <w:br/>
        <w:t>• ADaM (Analysis Data Model) v2.1 for analysis datasets</w:t>
        <w:br/>
        <w:t>• Controlled Terminology (CT) as specified in CDISC CT current version</w:t>
        <w:br/>
        <w:br/>
        <w:t>3.2 Dataset Organization</w:t>
        <w:br/>
        <w:t>All datasets are organized according to CDISC domain structure with standardized variable names, labels, and formats.</w:t>
        <w:br/>
        <w:br/>
        <w:t>3.3 Data Flow</w:t>
        <w:br/>
        <w:t>Raw data → SDTM datasets → ADaM datasets → Statistical analyses</w:t>
      </w:r>
    </w:p>
    <w:p>
      <w:pPr>
        <w:pStyle w:val="Heading2"/>
      </w:pPr>
      <w:r>
        <w:t>3.4 Dataset Summary</w:t>
      </w:r>
    </w:p>
    <w:p>
      <w:pPr>
        <w:pStyle w:val="Heading3"/>
      </w:pPr>
      <w:r>
        <w:t>SDTM Datasets</w:t>
      </w:r>
    </w:p>
    <w:p>
      <w:r>
        <w:t>• AE</w:t>
        <w:br/>
      </w:r>
      <w:r>
        <w:t>• CM</w:t>
        <w:br/>
      </w:r>
      <w:r>
        <w:t>• DM</w:t>
        <w:br/>
      </w:r>
      <w:r>
        <w:t>• EG</w:t>
        <w:br/>
      </w:r>
      <w:r>
        <w:t>• EX</w:t>
        <w:br/>
      </w:r>
      <w:r>
        <w:t>• LB</w:t>
        <w:br/>
      </w:r>
      <w:r>
        <w:t>• MH</w:t>
        <w:br/>
      </w:r>
      <w:r>
        <w:t>• PC</w:t>
        <w:br/>
      </w:r>
      <w:r>
        <w:t>• PE</w:t>
        <w:br/>
      </w:r>
      <w:r>
        <w:t>• PP</w:t>
        <w:br/>
      </w:r>
      <w:r>
        <w:t>• QS</w:t>
        <w:br/>
      </w:r>
      <w:r>
        <w:t>• VS</w:t>
        <w:br/>
      </w:r>
    </w:p>
    <w:p>
      <w:pPr>
        <w:pStyle w:val="Heading3"/>
      </w:pPr>
      <w:r>
        <w:t>ADaM Datasets</w:t>
      </w:r>
    </w:p>
    <w:p>
      <w:r>
        <w:t>• ADAE</w:t>
        <w:br/>
      </w:r>
      <w:r>
        <w:t>• ADCM</w:t>
        <w:br/>
      </w:r>
      <w:r>
        <w:t>• ADEG</w:t>
        <w:br/>
      </w:r>
      <w:r>
        <w:t>• ADEX</w:t>
        <w:br/>
      </w:r>
      <w:r>
        <w:t>• ADLB</w:t>
        <w:br/>
      </w:r>
      <w:r>
        <w:t>• ADPC</w:t>
        <w:br/>
      </w:r>
      <w:r>
        <w:t>• ADSL</w:t>
        <w:br/>
      </w:r>
      <w:r>
        <w:t>• ADVS</w:t>
        <w:br/>
      </w:r>
    </w:p>
    <w:p>
      <w:r>
        <w:br w:type="page"/>
      </w:r>
    </w:p>
    <w:p>
      <w:pPr>
        <w:pStyle w:val="Heading1"/>
      </w:pPr>
      <w:r>
        <w:t>4. Dataset Specifications</w:t>
      </w:r>
    </w:p>
    <w:p>
      <w:pPr>
        <w:pStyle w:val="Heading2"/>
      </w:pPr>
      <w:r>
        <w:t>4.14 ADAE Dataset</w:t>
      </w:r>
    </w:p>
    <w:p>
      <w:r>
        <w:t>Description: Adverse Events Analysis Dataset containing adverse event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ADAE dataset is derived from corresponding SDTM domains with additional computed variables for analysis purposes.</w:t>
      </w:r>
    </w:p>
    <w:p>
      <w:pPr>
        <w:pStyle w:val="Heading2"/>
      </w:pPr>
      <w:r>
        <w:t>4.15 ADCM Dataset</w:t>
      </w:r>
    </w:p>
    <w:p>
      <w:r>
        <w:t>Description: Concomitant Medications Analysis Dataset containing concomitant medication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ADCM dataset is derived from corresponding SDTM domains with additional computed variables for analysis purposes.</w:t>
      </w:r>
    </w:p>
    <w:p>
      <w:pPr>
        <w:pStyle w:val="Heading2"/>
      </w:pPr>
      <w:r>
        <w:t>4.19 ADEG Dataset</w:t>
      </w:r>
    </w:p>
    <w:p>
      <w:r>
        <w:t>Description: ECG Analysis Dataset containing electrocardiogram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ADEG dataset is derived from corresponding SDTM domains with additional computed variables for analysis purposes.</w:t>
      </w:r>
    </w:p>
    <w:p>
      <w:pPr>
        <w:pStyle w:val="Heading2"/>
      </w:pPr>
      <w:r>
        <w:t>4.16 ADEX Dataset</w:t>
      </w:r>
    </w:p>
    <w:p>
      <w:r>
        <w:t>Description: Exposure Analysis Dataset containing study drug exposure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ADEX dataset is derived from corresponding SDTM domains with additional computed variables for analysis purposes.</w:t>
      </w:r>
    </w:p>
    <w:p>
      <w:pPr>
        <w:pStyle w:val="Heading2"/>
      </w:pPr>
      <w:r>
        <w:t>4.17 ADLB Dataset</w:t>
      </w:r>
    </w:p>
    <w:p>
      <w:r>
        <w:t>Description: Laboratory Analysis Dataset containing clinical laboratory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ADLB dataset is derived from corresponding SDTM domains with additional computed variables for analysis purposes.</w:t>
      </w:r>
    </w:p>
    <w:p>
      <w:pPr>
        <w:pStyle w:val="Heading2"/>
      </w:pPr>
      <w:r>
        <w:t>4.20 ADPC Dataset</w:t>
      </w:r>
    </w:p>
    <w:p>
      <w:r>
        <w:t>Description: Pharmacokinetics Concentrations Analysis Dataset containing PK concentration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ADPC dataset is derived from corresponding SDTM domains with additional computed variables for analysis purposes.</w:t>
      </w:r>
    </w:p>
    <w:p>
      <w:pPr>
        <w:pStyle w:val="Heading2"/>
      </w:pPr>
      <w:r>
        <w:t>4.13 ADSL Dataset</w:t>
      </w:r>
    </w:p>
    <w:p>
      <w:r>
        <w:t>Description: Subject Level Analysis Dataset containing one record per subject with demographic and disposition information</w:t>
      </w:r>
    </w:p>
    <w:p>
      <w:pPr>
        <w:pStyle w:val="Heading3"/>
      </w:pPr>
      <w:r>
        <w:t>Key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USUBJID</w:t>
            </w:r>
          </w:p>
        </w:tc>
        <w:tc>
          <w:tcPr>
            <w:tcW w:type="dxa" w:w="2880"/>
          </w:tcPr>
          <w:p>
            <w:r>
              <w:t>Unique Subject Identifier</w:t>
            </w:r>
          </w:p>
        </w:tc>
        <w:tc>
          <w:tcPr>
            <w:tcW w:type="dxa" w:w="2880"/>
          </w:tcPr>
          <w:p>
            <w:r>
              <w:t>Subject identification</w:t>
            </w:r>
          </w:p>
        </w:tc>
      </w:tr>
      <w:tr>
        <w:tc>
          <w:tcPr>
            <w:tcW w:type="dxa" w:w="2880"/>
          </w:tcPr>
          <w:p>
            <w:r>
              <w:t>FASFL</w:t>
            </w:r>
          </w:p>
        </w:tc>
        <w:tc>
          <w:tcPr>
            <w:tcW w:type="dxa" w:w="2880"/>
          </w:tcPr>
          <w:p>
            <w:r>
              <w:t>Full Analysis Set Flag</w:t>
            </w:r>
          </w:p>
        </w:tc>
        <w:tc>
          <w:tcPr>
            <w:tcW w:type="dxa" w:w="2880"/>
          </w:tcPr>
          <w:p>
            <w:r>
              <w:t>Analysis population flag</w:t>
            </w:r>
          </w:p>
        </w:tc>
      </w:tr>
      <w:tr>
        <w:tc>
          <w:tcPr>
            <w:tcW w:type="dxa" w:w="2880"/>
          </w:tcPr>
          <w:p>
            <w:r>
              <w:t>SAFFL</w:t>
            </w:r>
          </w:p>
        </w:tc>
        <w:tc>
          <w:tcPr>
            <w:tcW w:type="dxa" w:w="2880"/>
          </w:tcPr>
          <w:p>
            <w:r>
              <w:t>Safety Population Flag</w:t>
            </w:r>
          </w:p>
        </w:tc>
        <w:tc>
          <w:tcPr>
            <w:tcW w:type="dxa" w:w="2880"/>
          </w:tcPr>
          <w:p>
            <w:r>
              <w:t>Safety population flag</w:t>
            </w:r>
          </w:p>
        </w:tc>
      </w:tr>
      <w:tr>
        <w:tc>
          <w:tcPr>
            <w:tcW w:type="dxa" w:w="2880"/>
          </w:tcPr>
          <w:p>
            <w:r>
              <w:t>TRT01A</w:t>
            </w:r>
          </w:p>
        </w:tc>
        <w:tc>
          <w:tcPr>
            <w:tcW w:type="dxa" w:w="2880"/>
          </w:tcPr>
          <w:p>
            <w:r>
              <w:t>Actual Treatment for Period 01</w:t>
            </w:r>
          </w:p>
        </w:tc>
        <w:tc>
          <w:tcPr>
            <w:tcW w:type="dxa" w:w="2880"/>
          </w:tcPr>
          <w:p>
            <w:r>
              <w:t>Treatment group</w:t>
            </w:r>
          </w:p>
        </w:tc>
      </w:tr>
      <w:tr>
        <w:tc>
          <w:tcPr>
            <w:tcW w:type="dxa" w:w="2880"/>
          </w:tcPr>
          <w:p>
            <w:r>
              <w:t>RANDDT</w:t>
            </w:r>
          </w:p>
        </w:tc>
        <w:tc>
          <w:tcPr>
            <w:tcW w:type="dxa" w:w="2880"/>
          </w:tcPr>
          <w:p>
            <w:r>
              <w:t>Date of Randomization</w:t>
            </w:r>
          </w:p>
        </w:tc>
        <w:tc>
          <w:tcPr>
            <w:tcW w:type="dxa" w:w="2880"/>
          </w:tcPr>
          <w:p>
            <w:r>
              <w:t>Randomization date</w:t>
            </w:r>
          </w:p>
        </w:tc>
      </w:tr>
    </w:tbl>
    <w:p>
      <w:pPr>
        <w:pStyle w:val="Heading3"/>
      </w:pPr>
      <w:r>
        <w:t>Derivation Notes</w:t>
      </w:r>
    </w:p>
    <w:p>
      <w:r>
        <w:t>The ADSL dataset is derived from corresponding SDTM domains with additional computed variables for analysis purposes.</w:t>
      </w:r>
    </w:p>
    <w:p>
      <w:pPr>
        <w:pStyle w:val="Heading2"/>
      </w:pPr>
      <w:r>
        <w:t>4.18 ADVS Dataset</w:t>
      </w:r>
    </w:p>
    <w:p>
      <w:r>
        <w:t>Description: Vital Signs Analysis Dataset containing vital signs data for analysis</w:t>
      </w:r>
    </w:p>
    <w:p>
      <w:pPr>
        <w:pStyle w:val="Heading3"/>
      </w:pPr>
      <w:r>
        <w:t>Key Variables</w:t>
      </w:r>
    </w:p>
    <w:p>
      <w:pPr>
        <w:pStyle w:val="Heading3"/>
      </w:pPr>
      <w:r>
        <w:t>Derivation Notes</w:t>
      </w:r>
    </w:p>
    <w:p>
      <w:r>
        <w:t>The ADVS dataset is derived from corresponding SDTM domains with additional computed variables for analysis purposes.</w:t>
      </w:r>
    </w:p>
    <w:p>
      <w:pPr>
        <w:pStyle w:val="Heading2"/>
      </w:pPr>
      <w:r>
        <w:t>4.2 AE Dataset</w:t>
      </w:r>
    </w:p>
    <w:p>
      <w:r>
        <w:t>Description: Adverse Events domain containing adverse event data collected during the study</w:t>
      </w:r>
    </w:p>
    <w:p>
      <w:pPr>
        <w:pStyle w:val="Heading3"/>
      </w:pPr>
      <w:r>
        <w:t>Key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USUBJID</w:t>
            </w:r>
          </w:p>
        </w:tc>
        <w:tc>
          <w:tcPr>
            <w:tcW w:type="dxa" w:w="2880"/>
          </w:tcPr>
          <w:p>
            <w:r>
              <w:t>Unique Subject Identifier</w:t>
            </w:r>
          </w:p>
        </w:tc>
        <w:tc>
          <w:tcPr>
            <w:tcW w:type="dxa" w:w="2880"/>
          </w:tcPr>
          <w:p>
            <w:r>
              <w:t>Subject identification</w:t>
            </w:r>
          </w:p>
        </w:tc>
      </w:tr>
      <w:tr>
        <w:tc>
          <w:tcPr>
            <w:tcW w:type="dxa" w:w="2880"/>
          </w:tcPr>
          <w:p>
            <w:r>
              <w:t>AETERM</w:t>
            </w:r>
          </w:p>
        </w:tc>
        <w:tc>
          <w:tcPr>
            <w:tcW w:type="dxa" w:w="2880"/>
          </w:tcPr>
          <w:p>
            <w:r>
              <w:t>Reported Term for the Adverse Event</w:t>
            </w:r>
          </w:p>
        </w:tc>
        <w:tc>
          <w:tcPr>
            <w:tcW w:type="dxa" w:w="2880"/>
          </w:tcPr>
          <w:p>
            <w:r>
              <w:t>AE verbatim term</w:t>
            </w:r>
          </w:p>
        </w:tc>
      </w:tr>
      <w:tr>
        <w:tc>
          <w:tcPr>
            <w:tcW w:type="dxa" w:w="2880"/>
          </w:tcPr>
          <w:p>
            <w:r>
              <w:t>AEDECOD</w:t>
            </w:r>
          </w:p>
        </w:tc>
        <w:tc>
          <w:tcPr>
            <w:tcW w:type="dxa" w:w="2880"/>
          </w:tcPr>
          <w:p>
            <w:r>
              <w:t>Dictionary-Derived Term</w:t>
            </w:r>
          </w:p>
        </w:tc>
        <w:tc>
          <w:tcPr>
            <w:tcW w:type="dxa" w:w="2880"/>
          </w:tcPr>
          <w:p>
            <w:r>
              <w:t>MedDRA preferred term</w:t>
            </w:r>
          </w:p>
        </w:tc>
      </w:tr>
      <w:tr>
        <w:tc>
          <w:tcPr>
            <w:tcW w:type="dxa" w:w="2880"/>
          </w:tcPr>
          <w:p>
            <w:r>
              <w:t>AESEV</w:t>
            </w:r>
          </w:p>
        </w:tc>
        <w:tc>
          <w:tcPr>
            <w:tcW w:type="dxa" w:w="2880"/>
          </w:tcPr>
          <w:p>
            <w:r>
              <w:t>Severity/Intensity Scale for Adverse Event</w:t>
            </w:r>
          </w:p>
        </w:tc>
        <w:tc>
          <w:tcPr>
            <w:tcW w:type="dxa" w:w="2880"/>
          </w:tcPr>
          <w:p>
            <w:r>
              <w:t>AE severity</w:t>
            </w:r>
          </w:p>
        </w:tc>
      </w:tr>
      <w:tr>
        <w:tc>
          <w:tcPr>
            <w:tcW w:type="dxa" w:w="2880"/>
          </w:tcPr>
          <w:p>
            <w:r>
              <w:t>AEREL</w:t>
            </w:r>
          </w:p>
        </w:tc>
        <w:tc>
          <w:tcPr>
            <w:tcW w:type="dxa" w:w="2880"/>
          </w:tcPr>
          <w:p>
            <w:r>
              <w:t>Causality</w:t>
            </w:r>
          </w:p>
        </w:tc>
        <w:tc>
          <w:tcPr>
            <w:tcW w:type="dxa" w:w="2880"/>
          </w:tcPr>
          <w:p>
            <w:r>
              <w:t>Relationship to study drug</w:t>
            </w:r>
          </w:p>
        </w:tc>
      </w:tr>
    </w:tbl>
    <w:p>
      <w:pPr>
        <w:pStyle w:val="Heading2"/>
      </w:pPr>
      <w:r>
        <w:t>4.3 CM Dataset</w:t>
      </w:r>
    </w:p>
    <w:p>
      <w:r>
        <w:t>Description: Concomitant Medications domain containing information about medications taken during the study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 DM Dataset</w:t>
      </w:r>
    </w:p>
    <w:p>
      <w:r>
        <w:t>Description: Demographics domain containing subject-level demographic and administrative information</w:t>
      </w:r>
    </w:p>
    <w:p>
      <w:pPr>
        <w:pStyle w:val="Heading3"/>
      </w:pPr>
      <w:r>
        <w:t>Key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USUBJID</w:t>
            </w:r>
          </w:p>
        </w:tc>
        <w:tc>
          <w:tcPr>
            <w:tcW w:type="dxa" w:w="2880"/>
          </w:tcPr>
          <w:p>
            <w:r>
              <w:t>Unique Subject Identifier</w:t>
            </w:r>
          </w:p>
        </w:tc>
        <w:tc>
          <w:tcPr>
            <w:tcW w:type="dxa" w:w="2880"/>
          </w:tcPr>
          <w:p>
            <w:r>
              <w:t>Subject identification</w:t>
            </w:r>
          </w:p>
        </w:tc>
      </w:tr>
      <w:tr>
        <w:tc>
          <w:tcPr>
            <w:tcW w:type="dxa" w:w="2880"/>
          </w:tcPr>
          <w:p>
            <w:r>
              <w:t>SUBJID</w:t>
            </w:r>
          </w:p>
        </w:tc>
        <w:tc>
          <w:tcPr>
            <w:tcW w:type="dxa" w:w="2880"/>
          </w:tcPr>
          <w:p>
            <w:r>
              <w:t>Subject Identifier for the Study</w:t>
            </w:r>
          </w:p>
        </w:tc>
        <w:tc>
          <w:tcPr>
            <w:tcW w:type="dxa" w:w="2880"/>
          </w:tcPr>
          <w:p>
            <w:r>
              <w:t>Subject ID within study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Subject age at consent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Subject gender</w:t>
            </w:r>
          </w:p>
        </w:tc>
      </w:tr>
      <w:tr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Subject race</w:t>
            </w:r>
          </w:p>
        </w:tc>
      </w:tr>
    </w:tbl>
    <w:p>
      <w:pPr>
        <w:pStyle w:val="Heading2"/>
      </w:pPr>
      <w:r>
        <w:t>4.10 EG Dataset</w:t>
      </w:r>
    </w:p>
    <w:p>
      <w:r>
        <w:t>Description: ECG Test Results domain containing electrocardiogram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4.4 EX Dataset</w:t>
      </w:r>
    </w:p>
    <w:p>
      <w:r>
        <w:t>Description: Exposure domain containing information about study drug administration</w:t>
      </w:r>
    </w:p>
    <w:p>
      <w:pPr>
        <w:pStyle w:val="Heading3"/>
      </w:pPr>
      <w:r>
        <w:t>Key Variables</w:t>
      </w:r>
    </w:p>
    <w:p>
      <w:pPr>
        <w:pStyle w:val="Heading2"/>
      </w:pPr>
      <w:r>
        <w:t>4.5 LB Dataset</w:t>
      </w:r>
    </w:p>
    <w:p>
      <w:r>
        <w:t>Description: Laboratory Test Results domain containing clinical laboratory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4.7 MH Dataset</w:t>
      </w:r>
    </w:p>
    <w:p>
      <w:r>
        <w:t>Description: Medical History domain containing subjects' medical history information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4.11 PC Dataset</w:t>
      </w:r>
    </w:p>
    <w:p>
      <w:r>
        <w:t>Description: Pharmacokinetics Concentrations domain containing drug concentration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4.8 PE Dataset</w:t>
      </w:r>
    </w:p>
    <w:p>
      <w:r>
        <w:t>Description: Physical Examination domain containing physical examination findings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4.12 PP Dataset</w:t>
      </w:r>
    </w:p>
    <w:p>
      <w:r>
        <w:t>Description: Pharmacokinetics Parameters domain containing PK parameter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4.9 QS Dataset</w:t>
      </w:r>
    </w:p>
    <w:p>
      <w:r>
        <w:t>Description: Questionnaires domain containing patient-reported outcome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4.6 VS Dataset</w:t>
      </w:r>
    </w:p>
    <w:p>
      <w:r>
        <w:t>Description: Vital Signs domain containing vital signs measurements</w:t>
      </w:r>
    </w:p>
    <w:p>
      <w:pPr>
        <w:pStyle w:val="Heading3"/>
      </w:pPr>
      <w:r>
        <w:t>Key Variables</w:t>
      </w:r>
    </w:p>
    <w:p>
      <w:r>
        <w:br w:type="page"/>
      </w:r>
    </w:p>
    <w:p>
      <w:pPr>
        <w:pStyle w:val="Heading1"/>
      </w:pPr>
      <w:r>
        <w:t>5. Analysis Populations</w:t>
      </w:r>
    </w:p>
    <w:p>
      <w:r>
        <w:t>5.1 Analysis Population Definitions</w:t>
        <w:br/>
        <w:br/>
        <w:t>The following analysis populations are defined for this study:</w:t>
        <w:br/>
        <w:br/>
        <w:t>• Full Analysis Set (FAS): All randomized subjects who received at least one dose of study medication</w:t>
        <w:br/>
        <w:t>• Per-Protocol Set (PPS): Subjects in the FAS who completed the study without major protocol violations</w:t>
        <w:br/>
        <w:t>• Safety Set (SAF): All subjects who received at least one dose of study medication</w:t>
        <w:br/>
        <w:t>• Pharmacokinetic Set (PKS): Subset of subjects with evaluable pharmacokinetic data</w:t>
        <w:br/>
        <w:br/>
        <w:t>5.2 Population Assignment</w:t>
        <w:br/>
        <w:t>Subject assignment to analysis populations is determined based on protocol adherence, data availability, and predefined criteria documented in the Statistical Analysis Plan.</w:t>
        <w:br/>
        <w:br/>
        <w:t>5.3 Population Flags</w:t>
        <w:br/>
        <w:t>Analysis population membership is indicated by flag variables in the ADSL dataset:</w:t>
        <w:br/>
        <w:t>• FASFL: Full Analysis Set Flag (Y/N)</w:t>
        <w:br/>
        <w:t>• PPSFL: Per-Protocol Set Flag (Y/N)</w:t>
        <w:br/>
        <w:t>• SAFFL: Safety Set Flag (Y/N)</w:t>
        <w:br/>
        <w:t>• PKSFL: Pharmacokinetic Set Flag (Y/N)</w:t>
      </w:r>
    </w:p>
    <w:p>
      <w:r>
        <w:br w:type="page"/>
      </w:r>
    </w:p>
    <w:p>
      <w:pPr>
        <w:pStyle w:val="Heading1"/>
      </w:pPr>
      <w:r>
        <w:t>6. Derived Variables</w:t>
      </w:r>
    </w:p>
    <w:p>
      <w:r>
        <w:t>6.1 Variable Derivation Methodology</w:t>
        <w:br/>
        <w:br/>
        <w:t>Derived variables are created following standardized algorithms and are fully documented for reproducibility.</w:t>
        <w:br/>
        <w:br/>
        <w:t>6.2 Common Derived Variables</w:t>
        <w:br/>
        <w:br/>
        <w:t>6.2.1 Timing Variables</w:t>
        <w:br/>
        <w:t>• Analysis relative day (ADY): Days from first dose of study medication</w:t>
        <w:br/>
        <w:t>• Analysis visit (AVISIT): Standardized visit labels for analysis</w:t>
        <w:br/>
        <w:br/>
        <w:t>6.2.2 Baseline Variables</w:t>
        <w:br/>
        <w:t>• Baseline values (BASE): Last non-missing value before first dose</w:t>
        <w:br/>
        <w:t>• Baseline flags (BNRIND): Baseline reference range indicators</w:t>
        <w:br/>
        <w:br/>
        <w:t>6.2.3 Change from Baseline</w:t>
        <w:br/>
        <w:t>• Change from baseline (CHG): Post-baseline value minus baseline value</w:t>
        <w:br/>
        <w:t>• Percent change from baseline (PCHG): ((Post-baseline - Baseline)/Baseline) × 100</w:t>
        <w:br/>
        <w:br/>
        <w:t>6.2.4 Analysis Flags</w:t>
        <w:br/>
        <w:t>• Analysis record flags (ANLxxxFL): Indicate records to be used in specific analyses</w:t>
        <w:br/>
        <w:t>• Evaluation flags (EVALyyyFL): Indicate evaluable records for specific endpoints</w:t>
      </w:r>
    </w:p>
    <w:p>
      <w:r>
        <w:br w:type="page"/>
      </w:r>
    </w:p>
    <w:p>
      <w:pPr>
        <w:pStyle w:val="Heading1"/>
      </w:pPr>
      <w:r>
        <w:t>7. Data Quality and Validation</w:t>
      </w:r>
    </w:p>
    <w:p>
      <w:r>
        <w:t>7.1 Data Quality Assurance</w:t>
        <w:br/>
        <w:br/>
        <w:t>All datasets undergo comprehensive quality checks to ensure data integrity and compliance with CDISC standards.</w:t>
        <w:br/>
        <w:br/>
        <w:t>7.2 Validation Procedures</w:t>
        <w:br/>
        <w:br/>
        <w:t>7.2.1 SDTM Validation</w:t>
        <w:br/>
        <w:t>• Conformance to SDTM Implementation Guide</w:t>
        <w:br/>
        <w:t>• Required variable presence and format validation</w:t>
        <w:br/>
        <w:t>• Controlled terminology verification</w:t>
        <w:br/>
        <w:t>• Cross-domain consistency checks</w:t>
        <w:br/>
        <w:br/>
        <w:t>7.2.2 ADaM Validation</w:t>
        <w:br/>
        <w:t>• Adherence to ADaM Implementation Guide</w:t>
        <w:br/>
        <w:t>• Derivation algorithm verification</w:t>
        <w:br/>
        <w:t>• Traceability to SDTM sources</w:t>
        <w:br/>
        <w:t>• Analysis dataset completeness checks</w:t>
        <w:br/>
        <w:br/>
        <w:t>7.3 Quality Control Process</w:t>
        <w:br/>
        <w:t>• Independent programming and validation</w:t>
        <w:br/>
        <w:t>• Comparison of outputs between primary and QC programs</w:t>
        <w:br/>
        <w:t>• Resolution of discrepancies through documented issue tracking</w:t>
        <w:br/>
        <w:t>• Final dataset release only after successful validation completion</w:t>
      </w:r>
    </w:p>
    <w:p>
      <w:r>
        <w:br w:type="page"/>
      </w:r>
    </w:p>
    <w:p>
      <w:pPr>
        <w:pStyle w:val="Heading1"/>
      </w:pPr>
      <w:r>
        <w:t>8. Programming Conventions</w:t>
      </w:r>
    </w:p>
    <w:p>
      <w:r>
        <w:t>8.1 Programming Standards</w:t>
        <w:br/>
        <w:br/>
        <w:t>All analysis programs follow established programming standards and best practices.</w:t>
        <w:br/>
        <w:br/>
        <w:t>8.2 SAS Programming Guidelines</w:t>
        <w:br/>
        <w:t>• Variable naming conventions follow CDISC standards</w:t>
        <w:br/>
        <w:t>• Consistent formatting and documentation</w:t>
        <w:br/>
        <w:t>• Modular programming approach with reusable macros</w:t>
        <w:br/>
        <w:t>• Comprehensive commenting for code readability</w:t>
        <w:br/>
        <w:br/>
        <w:t>8.3 Version Control</w:t>
        <w:br/>
        <w:t>All programs are maintained under version control with documented change history.</w:t>
        <w:br/>
        <w:br/>
        <w:t>8.4 Validation Approach</w:t>
        <w:br/>
        <w:t>Independent programming validation ensures accuracy and reproducibility of all analyses.</w:t>
        <w:br/>
        <w:br/>
        <w:t>8.5 Directory Structure</w:t>
        <w:br/>
        <w:t>Standard directory structure is maintained for all study programming deliverables:</w:t>
        <w:br/>
        <w:t>• /programs/sdtm/ - SDTM dataset creation programs</w:t>
        <w:br/>
        <w:t xml:space="preserve">• /programs/adam/ - ADaM dataset creation programs  </w:t>
        <w:br/>
        <w:t>• /programs/analysis/ - Statistical analysis programs</w:t>
        <w:br/>
        <w:t>• /programs/macros/ - Reusable macro library</w:t>
      </w:r>
    </w:p>
    <w:p>
      <w:r>
        <w:br w:type="page"/>
      </w:r>
    </w:p>
    <w:p>
      <w:pPr>
        <w:pStyle w:val="Heading1"/>
      </w:pPr>
      <w:r>
        <w:t>Appendix A: Variable Specifications</w:t>
      </w:r>
    </w:p>
    <w:p>
      <w:r>
        <w:t>This appendix provides detailed variable specifications for all datasets included in this ADRG.</w:t>
        <w:br/>
        <w:br/>
        <w:t>For each variable, the following information is provided:</w:t>
        <w:br/>
        <w:t>• Variable name and label</w:t>
        <w:br/>
        <w:t>• Data type and format</w:t>
        <w:br/>
        <w:t>• Derivation algorithm (where applicable)</w:t>
        <w:br/>
        <w:t>• Controlled terminology references</w:t>
        <w:br/>
        <w:t>• Comments and special considerations</w:t>
      </w:r>
    </w:p>
    <w:p>
      <w:pPr>
        <w:pStyle w:val="Heading2"/>
      </w:pPr>
      <w:r>
        <w:t>A.14 ADAE Variables</w:t>
      </w:r>
    </w:p>
    <w:p>
      <w:r>
        <w:t>[Detailed variable specifications for ADAE to be inserted]</w:t>
      </w:r>
    </w:p>
    <w:p>
      <w:pPr>
        <w:pStyle w:val="Heading2"/>
      </w:pPr>
      <w:r>
        <w:t>A.15 ADCM Variables</w:t>
      </w:r>
    </w:p>
    <w:p>
      <w:r>
        <w:t>[Detailed variable specifications for ADCM to be inserted]</w:t>
      </w:r>
    </w:p>
    <w:p>
      <w:pPr>
        <w:pStyle w:val="Heading2"/>
      </w:pPr>
      <w:r>
        <w:t>A.19 ADEG Variables</w:t>
      </w:r>
    </w:p>
    <w:p>
      <w:r>
        <w:t>[Detailed variable specifications for ADEG to be inserted]</w:t>
      </w:r>
    </w:p>
    <w:p>
      <w:pPr>
        <w:pStyle w:val="Heading2"/>
      </w:pPr>
      <w:r>
        <w:t>A.16 ADEX Variables</w:t>
      </w:r>
    </w:p>
    <w:p>
      <w:r>
        <w:t>[Detailed variable specifications for ADEX to be inserted]</w:t>
      </w:r>
    </w:p>
    <w:p>
      <w:pPr>
        <w:pStyle w:val="Heading2"/>
      </w:pPr>
      <w:r>
        <w:t>A.17 ADLB Variables</w:t>
      </w:r>
    </w:p>
    <w:p>
      <w:r>
        <w:t>[Detailed variable specifications for ADLB to be inserted]</w:t>
      </w:r>
    </w:p>
    <w:p>
      <w:pPr>
        <w:pStyle w:val="Heading2"/>
      </w:pPr>
      <w:r>
        <w:t>A.20 ADPC Variables</w:t>
      </w:r>
    </w:p>
    <w:p>
      <w:r>
        <w:t>[Detailed variable specifications for ADPC to be inserted]</w:t>
      </w:r>
    </w:p>
    <w:p>
      <w:pPr>
        <w:pStyle w:val="Heading2"/>
      </w:pPr>
      <w:r>
        <w:t>A.13 ADSL Variables</w:t>
      </w:r>
    </w:p>
    <w:p>
      <w:r>
        <w:t>[Detailed variable specifications for ADSL to be inserted]</w:t>
      </w:r>
    </w:p>
    <w:p>
      <w:pPr>
        <w:pStyle w:val="Heading2"/>
      </w:pPr>
      <w:r>
        <w:t>A.18 ADVS Variables</w:t>
      </w:r>
    </w:p>
    <w:p>
      <w:r>
        <w:t>[Detailed variable specifications for ADVS to be inserted]</w:t>
      </w:r>
    </w:p>
    <w:p>
      <w:pPr>
        <w:pStyle w:val="Heading2"/>
      </w:pPr>
      <w:r>
        <w:t>A.2 AE Variables</w:t>
      </w:r>
    </w:p>
    <w:p>
      <w:r>
        <w:t>[Detailed variable specifications for AE to be inserted]</w:t>
      </w:r>
    </w:p>
    <w:p>
      <w:pPr>
        <w:pStyle w:val="Heading2"/>
      </w:pPr>
      <w:r>
        <w:t>A.3 CM Variables</w:t>
      </w:r>
    </w:p>
    <w:p>
      <w:r>
        <w:t>[Detailed variable specifications for CM to be inserted]</w:t>
      </w:r>
    </w:p>
    <w:p>
      <w:pPr>
        <w:pStyle w:val="Heading2"/>
      </w:pPr>
      <w:r>
        <w:t>A.1 DM Variables</w:t>
      </w:r>
    </w:p>
    <w:p>
      <w:r>
        <w:t>[Detailed variable specifications for DM to be inserted]</w:t>
      </w:r>
    </w:p>
    <w:p>
      <w:pPr>
        <w:pStyle w:val="Heading2"/>
      </w:pPr>
      <w:r>
        <w:t>A.10 EG Variables</w:t>
      </w:r>
    </w:p>
    <w:p>
      <w:r>
        <w:t>[Detailed variable specifications for EG to be inserted]</w:t>
      </w:r>
    </w:p>
    <w:p>
      <w:pPr>
        <w:pStyle w:val="Heading2"/>
      </w:pPr>
      <w:r>
        <w:t>A.4 EX Variables</w:t>
      </w:r>
    </w:p>
    <w:p>
      <w:r>
        <w:t>[Detailed variable specifications for EX to be inserted]</w:t>
      </w:r>
    </w:p>
    <w:p>
      <w:pPr>
        <w:pStyle w:val="Heading2"/>
      </w:pPr>
      <w:r>
        <w:t>A.5 LB Variables</w:t>
      </w:r>
    </w:p>
    <w:p>
      <w:r>
        <w:t>[Detailed variable specifications for LB to be inserted]</w:t>
      </w:r>
    </w:p>
    <w:p>
      <w:pPr>
        <w:pStyle w:val="Heading2"/>
      </w:pPr>
      <w:r>
        <w:t>A.7 MH Variables</w:t>
      </w:r>
    </w:p>
    <w:p>
      <w:r>
        <w:t>[Detailed variable specifications for MH to be inserted]</w:t>
      </w:r>
    </w:p>
    <w:p>
      <w:pPr>
        <w:pStyle w:val="Heading2"/>
      </w:pPr>
      <w:r>
        <w:t>A.11 PC Variables</w:t>
      </w:r>
    </w:p>
    <w:p>
      <w:r>
        <w:t>[Detailed variable specifications for PC to be inserted]</w:t>
      </w:r>
    </w:p>
    <w:p>
      <w:pPr>
        <w:pStyle w:val="Heading2"/>
      </w:pPr>
      <w:r>
        <w:t>A.8 PE Variables</w:t>
      </w:r>
    </w:p>
    <w:p>
      <w:r>
        <w:t>[Detailed variable specifications for PE to be inserted]</w:t>
      </w:r>
    </w:p>
    <w:p>
      <w:pPr>
        <w:pStyle w:val="Heading2"/>
      </w:pPr>
      <w:r>
        <w:t>A.12 PP Variables</w:t>
      </w:r>
    </w:p>
    <w:p>
      <w:r>
        <w:t>[Detailed variable specifications for PP to be inserted]</w:t>
      </w:r>
    </w:p>
    <w:p>
      <w:pPr>
        <w:pStyle w:val="Heading2"/>
      </w:pPr>
      <w:r>
        <w:t>A.9 QS Variables</w:t>
      </w:r>
    </w:p>
    <w:p>
      <w:r>
        <w:t>[Detailed variable specifications for QS to be inserted]</w:t>
      </w:r>
    </w:p>
    <w:p>
      <w:pPr>
        <w:pStyle w:val="Heading2"/>
      </w:pPr>
      <w:r>
        <w:t>A.6 VS Variables</w:t>
      </w:r>
    </w:p>
    <w:p>
      <w:r>
        <w:t>[Detailed variable specifications for VS to be inserted]</w:t>
      </w:r>
    </w:p>
    <w:p>
      <w:r>
        <w:br w:type="page"/>
      </w:r>
    </w:p>
    <w:p>
      <w:pPr>
        <w:pStyle w:val="Heading1"/>
      </w:pPr>
      <w:r>
        <w:t>Appendix B: Derivation Details</w:t>
      </w:r>
    </w:p>
    <w:p>
      <w:r>
        <w:t>This appendix provides detailed derivation algorithms and code snippets for complex derived variables.</w:t>
        <w:br/>
        <w:br/>
        <w:t>Each derivation includes:</w:t>
        <w:br/>
        <w:t>• Step-by-step algorithm description</w:t>
        <w:br/>
        <w:t>• Input data sources and variables</w:t>
        <w:br/>
        <w:t>• Business rules and logic</w:t>
        <w:br/>
        <w:t>• Example calculations</w:t>
        <w:br/>
        <w:t>• Quality control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ADRG - 123</dc:title>
  <dc:subject>er</dc:subject>
  <dc:creator/>
  <cp:keywords/>
  <dc:description>Generated ADRG document</dc:description>
  <cp:lastModifiedBy/>
  <cp:revision>1</cp:revision>
  <dcterms:created xsi:type="dcterms:W3CDTF">2026-01-06T20:03:39Z</dcterms:created>
  <dcterms:modified xsi:type="dcterms:W3CDTF">2013-12-23T23:15:00Z</dcterms:modified>
  <cp:category/>
</cp:coreProperties>
</file>