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Thermal Underfloor / Optimo</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rigid design prevents sagging between joists.</w:t>
      </w:r>
    </w:p>
    <w:p>
      <w:pPr>
        <w:pStyle w:val="ListBullet"/>
      </w:pPr>
      <w:r>
        <w:t>reduces drafts and cold floors.</w:t>
      </w:r>
    </w:p>
    <w:p>
      <w:pPr>
        <w:pStyle w:val="ListBullet"/>
      </w:pPr>
      <w:r>
        <w:t>50 Year Warranty backed by CSR.</w:t>
      </w:r>
    </w:p>
    <w:p>
      <w:pPr>
        <w:pStyle w:val="Heading1"/>
      </w:pPr>
      <w:r>
        <w:t>2. Applications and selection</w:t>
      </w:r>
    </w:p>
    <w:p>
      <w:pPr>
        <w:pStyle w:val="ListBullet"/>
      </w:pPr>
      <w:r>
        <w:t>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Thermal Underfloor / Optimo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