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Aircell Biscuits</w:t>
      </w:r>
    </w:p>
    <w:p>
      <w:r>
        <w:t>Reflective foil insulation for radiant heat control</w:t>
      </w:r>
    </w:p>
    <w:p>
      <w:pPr>
        <w:pStyle w:val="Heading1"/>
      </w:pPr>
      <w:r>
        <w:t>1. Product description</w:t>
      </w:r>
    </w:p>
    <w:p>
      <w:r>
        <w:t>Quality insulation engineered for Australian conditions. Reflects up to 97% of radiant heat, dramatically reducing summer cooling costs while providing an effective vapour barrier.</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Composite</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https://www.allcongroup.com.au/wp-content/uploads/2025/10/kingspan-greenguard-safety-data-sheet-en-au.pdf.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Aircell Biscuits (reflective) by Aircell,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https://www.kingspan.com/au/.</w:t>
      </w:r>
    </w:p>
    <w:p>
      <w:r>
        <w:t>SRC-02 Safety data sheet: https://www.allcongroup.com.au/wp-content/uploads/2025/10/kingspan-greenguard-safety-data-sheet-en-au.pdf.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