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REFLECTIVE</w:t>
      </w:r>
    </w:p>
    <w:p>
      <w:r>
        <w:rPr>
          <w:sz w:val="44"/>
        </w:rPr>
        <w:t>Aircell Permicav</w:t>
      </w:r>
    </w:p>
    <w:p>
      <w:r>
        <w:t>Reflective foil insulation for radiant heat control</w:t>
      </w:r>
    </w:p>
    <w:p>
      <w:pPr>
        <w:pStyle w:val="Heading1"/>
      </w:pPr>
      <w:r>
        <w:t>1. Product description</w:t>
      </w:r>
    </w:p>
    <w:p>
      <w:r>
        <w:t>Quality insulation engineered for Australian conditions. Reflects up to 97% of radiant heat, dramatically reducing summer cooling costs while providing an effective vapour barrier.</w:t>
      </w:r>
    </w:p>
    <w:p>
      <w:pPr>
        <w:pStyle w:val="Heading2"/>
      </w:pPr>
      <w:r>
        <w:t>Key features</w:t>
      </w:r>
    </w:p>
    <w:p>
      <w:pPr>
        <w:pStyle w:val="ListBullet"/>
      </w:pPr>
      <w:r>
        <w:t>High-purity aluminium reflective facing.</w:t>
      </w:r>
    </w:p>
    <w:p>
      <w:pPr>
        <w:pStyle w:val="ListBullet"/>
      </w:pPr>
      <w:r>
        <w:t>reflects up to 97% of radiant heat.</w:t>
      </w:r>
    </w:p>
    <w:p>
      <w:pPr>
        <w:pStyle w:val="ListBullet"/>
      </w:pPr>
      <w:r>
        <w:t>lightweight and easy to install.</w:t>
      </w:r>
    </w:p>
    <w:p>
      <w:pPr>
        <w:pStyle w:val="ListBullet"/>
      </w:pPr>
      <w:r>
        <w:t>provides vapour barrier when properly sealed.</w:t>
      </w:r>
    </w:p>
    <w:p>
      <w:pPr>
        <w:pStyle w:val="ListBullet"/>
      </w:pPr>
      <w:r>
        <w:t>excellent thermal performance for roof/ceiling applications.</w:t>
      </w:r>
    </w:p>
    <w:p>
      <w:pPr>
        <w:pStyle w:val="ListBullet"/>
      </w:pPr>
      <w:r>
        <w:t>helps meet NCC energy efficiency requirements.</w:t>
      </w:r>
    </w:p>
    <w:p>
      <w:pPr>
        <w:pStyle w:val="Heading1"/>
      </w:pPr>
      <w:r>
        <w:t>2. Applications and selection</w:t>
      </w:r>
    </w:p>
    <w:p>
      <w:pPr>
        <w:pStyle w:val="ListBullet"/>
      </w:pPr>
      <w:r>
        <w:t>Metal Roof / Shed</w:t>
      </w:r>
    </w:p>
    <w:p>
      <w:pPr>
        <w:pStyle w:val="Heading2"/>
      </w:pPr>
      <w:r>
        <w:t>Selection checklist</w:t>
      </w:r>
    </w:p>
    <w:p>
      <w:pPr>
        <w:pStyle w:val="ListNumber"/>
      </w:pPr>
      <w:r>
        <w:t>Confirm the application matches the family.</w:t>
      </w:r>
    </w:p>
    <w:p>
      <w:pPr>
        <w:pStyle w:val="ListNumber"/>
      </w:pPr>
      <w:r>
        <w:t>Confirm the target rating and construction build-up.</w:t>
      </w:r>
    </w:p>
    <w:p>
      <w:pPr>
        <w:pStyle w:val="ListNumber"/>
      </w:pPr>
      <w:r>
        <w:t>Confirm available depth against product dimensions.</w:t>
      </w:r>
    </w:p>
    <w:p>
      <w:pPr>
        <w:pStyle w:val="ListNumber"/>
      </w:pPr>
      <w:r>
        <w:t>Check NCC, fire, BAL or acoustic requirements with a qualified reviewer.</w:t>
      </w:r>
    </w:p>
    <w:p>
      <w:pPr>
        <w:pStyle w:val="ListNumber"/>
      </w:pPr>
      <w:r>
        <w:t>Record the suburb/postcode for climate-zone checks.</w:t>
      </w:r>
    </w:p>
    <w:p>
      <w:pPr>
        <w:pStyle w:val="Heading1"/>
      </w:pPr>
      <w:r>
        <w:t>3. Current catalogue range</w:t>
      </w:r>
    </w:p>
    <w:p>
      <w:r>
        <w:t>Range not yet extracted; confirm variants against the current manufacturer TDS.</w:t>
      </w:r>
    </w:p>
    <w:p>
      <w:pPr>
        <w:pStyle w:val="Heading1"/>
      </w:pPr>
      <w:r>
        <w:t>4. Technical data</w:t>
      </w:r>
    </w:p>
    <w:tbl>
      <w:tblPr>
        <w:tblStyle w:val="LightGrid-Accent1"/>
        <w:tblW w:type="auto" w:w="0"/>
        <w:tblLook w:firstColumn="1" w:firstRow="1" w:lastColumn="0" w:lastRow="0" w:noHBand="0" w:noVBand="1" w:val="04A0"/>
      </w:tblPr>
      <w:tblGrid>
        <w:gridCol w:w="2880"/>
        <w:gridCol w:w="2880"/>
        <w:gridCol w:w="2880"/>
      </w:tblGrid>
      <w:tr>
        <w:tc>
          <w:tcPr>
            <w:tcW w:type="dxa" w:w="2880"/>
          </w:tcPr>
          <w:p>
            <w:r>
              <w:t>Property</w:t>
            </w:r>
          </w:p>
        </w:tc>
        <w:tc>
          <w:tcPr>
            <w:tcW w:type="dxa" w:w="2880"/>
          </w:tcPr>
          <w:p>
            <w:r>
              <w:t>Value</w:t>
            </w:r>
          </w:p>
        </w:tc>
        <w:tc>
          <w:tcPr>
            <w:tcW w:type="dxa" w:w="2880"/>
          </w:tcPr>
          <w:p>
            <w:r>
              <w:t>Source</w:t>
            </w:r>
          </w:p>
        </w:tc>
      </w:tr>
      <w:tr>
        <w:tc>
          <w:tcPr>
            <w:tcW w:type="dxa" w:w="2880"/>
          </w:tcPr>
          <w:p>
            <w:r>
              <w:t>Product type</w:t>
            </w:r>
          </w:p>
        </w:tc>
        <w:tc>
          <w:tcPr>
            <w:tcW w:type="dxa" w:w="2880"/>
          </w:tcPr>
          <w:p>
            <w:r>
              <w:t>Reflective</w:t>
            </w:r>
          </w:p>
        </w:tc>
        <w:tc>
          <w:tcPr>
            <w:tcW w:type="dxa" w:w="2880"/>
          </w:tcPr>
          <w:p>
            <w:r>
              <w:t>Manufacturer catalogue</w:t>
            </w:r>
          </w:p>
        </w:tc>
      </w:tr>
      <w:tr>
        <w:tc>
          <w:tcPr>
            <w:tcW w:type="dxa" w:w="2880"/>
          </w:tcPr>
          <w:p>
            <w:r>
              <w:t>Material</w:t>
            </w:r>
          </w:p>
        </w:tc>
        <w:tc>
          <w:tcPr>
            <w:tcW w:type="dxa" w:w="2880"/>
          </w:tcPr>
          <w:p>
            <w:r>
              <w:t>Reflective Composite</w:t>
            </w:r>
          </w:p>
        </w:tc>
        <w:tc>
          <w:tcPr>
            <w:tcW w:type="dxa" w:w="2880"/>
          </w:tcPr>
          <w:p>
            <w:r>
              <w:t>Manufacturer catalogue</w:t>
            </w:r>
          </w:p>
        </w:tc>
      </w:tr>
      <w:tr>
        <w:tc>
          <w:tcPr>
            <w:tcW w:type="dxa" w:w="2880"/>
          </w:tcPr>
          <w:p>
            <w:r>
              <w:t>Applications</w:t>
            </w:r>
          </w:p>
        </w:tc>
        <w:tc>
          <w:tcPr>
            <w:tcW w:type="dxa" w:w="2880"/>
          </w:tcPr>
          <w:p>
            <w:r>
              <w:t>Metal Roof / Shed</w:t>
            </w:r>
          </w:p>
        </w:tc>
        <w:tc>
          <w:tcPr>
            <w:tcW w:type="dxa" w:w="2880"/>
          </w:tcPr>
          <w:p>
            <w:r>
              <w:t>Manufacturer catalogue</w:t>
            </w:r>
          </w:p>
        </w:tc>
      </w:tr>
    </w:tbl>
    <w:p>
      <w:pPr>
        <w:pStyle w:val="Heading1"/>
      </w:pPr>
      <w:r>
        <w:t>5. Fire, testing and compliance context</w:t>
      </w:r>
    </w:p>
    <w:p>
      <w:r>
        <w:t>NCC / project compliance: conditional - project-specific evidence required. Fire: not verified per SKU. BAL: not verified.</w:t>
      </w:r>
    </w:p>
    <w:p>
      <w:pPr>
        <w:pStyle w:val="Heading1"/>
      </w:pPr>
      <w:r>
        <w:t>6. Installation overview</w:t>
      </w:r>
    </w:p>
    <w:p>
      <w:r>
        <w:t>Use the current manufacturer instructions and the project specification. Handling, fixing and jointing details must be confirmed against the TDS for the selected SKU.</w:t>
      </w:r>
    </w:p>
    <w:p>
      <w:pPr>
        <w:pStyle w:val="Heading1"/>
      </w:pPr>
      <w:r>
        <w:t>7. Safety, handling and SDS status</w:t>
      </w:r>
    </w:p>
    <w:p>
      <w:r>
        <w:t>SDS: https://www.allcongroup.com.au/wp-content/uploads/2025/10/kingspan-greenguard-safety-data-sheet-en-au.pdf. Confirm the current SDS before handling or cutting.</w:t>
      </w:r>
    </w:p>
    <w:p>
      <w:pPr>
        <w:pStyle w:val="Heading1"/>
      </w:pPr>
      <w:r>
        <w:t>8. Sustainability and indoor environment</w:t>
      </w:r>
    </w:p>
    <w:p>
      <w:r>
        <w:t>Sustainability and VOC statements are manufacturer-published claims and are not independently verified in this draft.</w:t>
      </w:r>
    </w:p>
    <w:p>
      <w:pPr>
        <w:pStyle w:val="Heading1"/>
      </w:pPr>
      <w:r>
        <w:t>9. Warranty, returns and support</w:t>
      </w:r>
    </w:p>
    <w:p>
      <w:r>
        <w:t>No product-specific warranty term is asserted in this draft. Refer to the manufacturer's general terms.</w:t>
      </w:r>
    </w:p>
    <w:p>
      <w:pPr>
        <w:pStyle w:val="Heading1"/>
      </w:pPr>
      <w:r>
        <w:t>10. Specification starting point</w:t>
      </w:r>
    </w:p>
    <w:p>
      <w:r>
        <w:t>Insulation shall be Aircell Permicav (reflective) by Aircell, selected to suit the confirmed application and required rating. Exact product, thickness and compliance to be confirmed by the project reviewer against the current manufacturer TDS before ordering.</w:t>
      </w:r>
    </w:p>
    <w:p>
      <w:pPr>
        <w:pStyle w:val="Heading1"/>
      </w:pPr>
      <w:r>
        <w:t>11. Public document register</w:t>
      </w:r>
    </w:p>
    <w:p>
      <w:r>
        <w:t>SRC-01 Manufacturer datasheet: https://www.kingspan.com/au/.</w:t>
      </w:r>
    </w:p>
    <w:p>
      <w:r>
        <w:t>SRC-02 Safety data sheet: https://www.allcongroup.com.au/wp-content/uploads/2025/10/kingspan-greenguard-safety-data-sheet-en-au.pdf.</w:t>
      </w:r>
    </w:p>
    <w:p>
      <w:pPr>
        <w:pStyle w:val="Heading1"/>
      </w:pPr>
      <w:r>
        <w:t>12. Technical-review actions before publication</w:t>
      </w:r>
    </w:p>
    <w:p>
      <w:pPr>
        <w:pStyle w:val="ListBullet"/>
      </w:pPr>
      <w:r>
        <w:t>Confirm the exact product TDS deep link and re-validate all technical values.</w:t>
      </w:r>
    </w:p>
    <w:p>
      <w:pPr>
        <w:pStyle w:val="ListBullet"/>
      </w:pPr>
      <w:r>
        <w:t>Confirm SDS currency and handling guidance.</w:t>
      </w:r>
    </w:p>
    <w:p>
      <w:pPr>
        <w:pStyle w:val="ListBullet"/>
      </w:pPr>
      <w:r>
        <w:t>Approve environmental and warranty wording with the manufacturer.</w:t>
      </w:r>
    </w:p>
    <w:p>
      <w:pPr>
        <w:pStyle w:val="ListBullet"/>
      </w:pPr>
      <w:r>
        <w:t>Human review of NCC, fire, BAL and acoustic claims remains mandatory.</w:t>
      </w:r>
    </w:p>
    <w:p>
      <w:r>
        <w:t>Draft generated 2026-09-05 from the internal knowledge base. Technical values and claims remain subject to manufacturer review before publication.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