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Aircell Retroshield</w:t>
      </w:r>
    </w:p>
    <w:p>
      <w:r>
        <w:t>Reflective foil insulation for radiant heat control</w:t>
      </w:r>
    </w:p>
    <w:p>
      <w:pPr>
        <w:pStyle w:val="Heading1"/>
      </w:pPr>
      <w:r>
        <w:t>1. Product description</w:t>
      </w:r>
    </w:p>
    <w:p>
      <w:r>
        <w:t>Quality insulation engineered for Australian conditions. Reflects up to 97% of radiant heat, dramatically reducing summer cooling costs while providing an effective vapour barrier.</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Metal Roof / Shed</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Aircell Retroshield (reflective) by Aircell,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https://www.allcongroup.com.au/wp-content/uploads/2025/10/kingspan-greenguard-safety-data-sheet-en-au.pdf.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