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WRAP</w:t>
      </w:r>
    </w:p>
    <w:p>
      <w:r>
        <w:rPr>
          <w:sz w:val="44"/>
        </w:rPr>
        <w:t>Bradford Wall Wraps - Enviroseal Ultra Tape</w:t>
      </w:r>
    </w:p>
    <w:p>
      <w:r>
        <w:t>Reflective membrane for weather protection and condensation control</w:t>
      </w:r>
    </w:p>
    <w:p>
      <w:pPr>
        <w:pStyle w:val="Heading1"/>
      </w:pPr>
      <w:r>
        <w:t>1. Product description</w:t>
      </w:r>
    </w:p>
    <w:p>
      <w:r>
        <w:t>Part of the CSR family with 100+ years of Australian building solutions. Engineered to meet Australian building requirements.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ListBullet"/>
      </w:pPr>
      <w:r>
        <w:t>50 Year Warranty backed by CSR.</w:t>
      </w:r>
    </w:p>
    <w:p>
      <w:pPr>
        <w:pStyle w:val="ListBullet"/>
      </w:pPr>
      <w:r>
        <w:t>ACCC certified.</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Wrap</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Wall Wraps - Enviroseal Ultra Tape (wrap)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