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BOARD</w:t>
      </w:r>
    </w:p>
    <w:p>
      <w:r>
        <w:rPr>
          <w:sz w:val="44"/>
        </w:rPr>
        <w:t>Kingspan K18</w:t>
      </w:r>
    </w:p>
    <w:p>
      <w:r>
        <w:t>Rigid insulation boards for continuous thermal performance</w:t>
      </w:r>
    </w:p>
    <w:p>
      <w:pPr>
        <w:pStyle w:val="Heading1"/>
      </w:pPr>
      <w:r>
        <w:t>1. Product description</w:t>
      </w:r>
    </w:p>
    <w:p>
      <w:r>
        <w:t>Global leader in high-performance insulation solutions. Ultra-thin, ultra-efficient. Maximum thermal performance when space is at a premium.</w:t>
      </w:r>
    </w:p>
    <w:p>
      <w:pPr>
        <w:pStyle w:val="Heading2"/>
      </w:pPr>
      <w:r>
        <w:t>Key features</w:t>
      </w:r>
    </w:p>
    <w:p>
      <w:pPr>
        <w:pStyle w:val="ListBullet"/>
      </w:pPr>
      <w:r>
        <w:t>Ultra-low thermal conductivity phenolic foam.</w:t>
      </w:r>
    </w:p>
    <w:p>
      <w:pPr>
        <w:pStyle w:val="ListBullet"/>
      </w:pPr>
      <w:r>
        <w:t>highest thermal performance in thin profiles.</w:t>
      </w:r>
    </w:p>
    <w:p>
      <w:pPr>
        <w:pStyle w:val="ListBullet"/>
      </w:pPr>
      <w:r>
        <w:t>fire-resistant with low smoke emission.</w:t>
      </w:r>
    </w:p>
    <w:p>
      <w:pPr>
        <w:pStyle w:val="ListBullet"/>
      </w:pPr>
      <w:r>
        <w:t>dimensionally stable over wide temperature range.</w:t>
      </w:r>
    </w:p>
    <w:p>
      <w:pPr>
        <w:pStyle w:val="ListBullet"/>
      </w:pPr>
      <w:r>
        <w:t>Global leader in high-performance insulation.</w:t>
      </w:r>
    </w:p>
    <w:p>
      <w:pPr>
        <w:pStyle w:val="ListBullet"/>
      </w:pPr>
      <w:r>
        <w:t>zero ODP manufacturing.</w:t>
      </w:r>
    </w:p>
    <w:p>
      <w:pPr>
        <w:pStyle w:val="Heading1"/>
      </w:pPr>
      <w:r>
        <w:t>2. Applications and selection</w:t>
      </w:r>
    </w:p>
    <w:p>
      <w:pPr>
        <w:pStyle w:val="ListBullet"/>
      </w:pPr>
      <w:r>
        <w:t>Internal Wall</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Board</w:t>
            </w:r>
          </w:p>
        </w:tc>
        <w:tc>
          <w:tcPr>
            <w:tcW w:type="dxa" w:w="2880"/>
          </w:tcPr>
          <w:p>
            <w:r>
              <w:t>Manufacturer catalogue</w:t>
            </w:r>
          </w:p>
        </w:tc>
      </w:tr>
      <w:tr>
        <w:tc>
          <w:tcPr>
            <w:tcW w:type="dxa" w:w="2880"/>
          </w:tcPr>
          <w:p>
            <w:r>
              <w:t>Material</w:t>
            </w:r>
          </w:p>
        </w:tc>
        <w:tc>
          <w:tcPr>
            <w:tcW w:type="dxa" w:w="2880"/>
          </w:tcPr>
          <w:p>
            <w:r>
              <w:t>Phenolic</w:t>
            </w:r>
          </w:p>
        </w:tc>
        <w:tc>
          <w:tcPr>
            <w:tcW w:type="dxa" w:w="2880"/>
          </w:tcPr>
          <w:p>
            <w:r>
              <w:t>Manufacturer catalogue</w:t>
            </w:r>
          </w:p>
        </w:tc>
      </w:tr>
      <w:tr>
        <w:tc>
          <w:tcPr>
            <w:tcW w:type="dxa" w:w="2880"/>
          </w:tcPr>
          <w:p>
            <w:r>
              <w:t>Applications</w:t>
            </w:r>
          </w:p>
        </w:tc>
        <w:tc>
          <w:tcPr>
            <w:tcW w:type="dxa" w:w="2880"/>
          </w:tcPr>
          <w:p>
            <w:r>
              <w:t>Internal Wall</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https://allcongroup.com.au/wp-content/uploads/2025/10/kingspan-greenguard-safety-data-sheet-en-au.pdf.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Kingspan K18 (board) by Kingspan,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https://www.kingspan.com/au/.</w:t>
      </w:r>
    </w:p>
    <w:p>
      <w:r>
        <w:t>SRC-02 Safety data sheet: https://allcongroup.com.au/wp-content/uploads/2025/10/kingspan-greenguard-safety-data-sheet-en-au.pdf.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