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Aircell Permiwall</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Heading1"/>
      </w:pPr>
      <w:r>
        <w:t>2. Applications and selection</w:t>
      </w:r>
    </w:p>
    <w:p>
      <w:pPr>
        <w:pStyle w:val="ListBullet"/>
      </w:pPr>
      <w:r>
        <w:t>Internal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Composite</w:t>
            </w:r>
          </w:p>
        </w:tc>
        <w:tc>
          <w:tcPr>
            <w:tcW w:type="dxa" w:w="2880"/>
          </w:tcPr>
          <w:p>
            <w:r>
              <w:t>Manufacturer catalogue</w:t>
            </w:r>
          </w:p>
        </w:tc>
      </w:tr>
      <w:tr>
        <w:tc>
          <w:tcPr>
            <w:tcW w:type="dxa" w:w="2880"/>
          </w:tcPr>
          <w:p>
            <w:r>
              <w:t>Applications</w:t>
            </w:r>
          </w:p>
        </w:tc>
        <w:tc>
          <w:tcPr>
            <w:tcW w:type="dxa" w:w="2880"/>
          </w:tcPr>
          <w:p>
            <w:r>
              <w:t>Internal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Aircell Permiwall (reflective) by Aircell,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https://www.allcongroup.com.au/wp-content/uploads/2025/10/kingspan-greenguard-safety-data-sheet-en-au.pdf.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