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ACCESSORY</w:t>
      </w:r>
    </w:p>
    <w:p>
      <w:r>
        <w:rPr>
          <w:sz w:val="44"/>
        </w:rPr>
        <w:t>Ametalin Accessory</w:t>
      </w:r>
    </w:p>
    <w:p>
      <w:r>
        <w:t>Installation accessories and fixings</w:t>
      </w:r>
    </w:p>
    <w:p>
      <w:pPr>
        <w:pStyle w:val="Heading1"/>
      </w:pPr>
      <w:r>
        <w:t>1. Product description</w:t>
      </w:r>
    </w:p>
    <w:p>
      <w:r>
        <w:t>Quality insulation engineered for Australian conditions. Engineered to meet the demanding requirements of Australian building conditions.</w:t>
      </w:r>
    </w:p>
    <w:p>
      <w:pPr>
        <w:pStyle w:val="Heading2"/>
      </w:pPr>
      <w:r>
        <w:t>Key features</w:t>
      </w:r>
    </w:p>
    <w:p>
      <w:pPr>
        <w:pStyle w:val="ListBullet"/>
      </w:pPr>
      <w:r>
        <w:t>High-performance sealing and joining solution.</w:t>
      </w:r>
    </w:p>
    <w:p>
      <w:pPr>
        <w:pStyle w:val="ListBullet"/>
      </w:pPr>
      <w:r>
        <w:t>maintains air and vapour barrier continuity.</w:t>
      </w:r>
    </w:p>
    <w:p>
      <w:pPr>
        <w:pStyle w:val="ListBullet"/>
      </w:pPr>
      <w:r>
        <w:t>compatible with a range of insulation substrates.</w:t>
      </w:r>
    </w:p>
    <w:p>
      <w:pPr>
        <w:pStyle w:val="Heading1"/>
      </w:pPr>
      <w:r>
        <w:t>2. Applications and selection</w:t>
      </w:r>
    </w:p>
    <w:p>
      <w:pPr>
        <w:pStyle w:val="ListBullet"/>
      </w:pPr>
      <w:r>
        <w:t>General Installation</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Accessory</w:t>
            </w:r>
          </w:p>
        </w:tc>
        <w:tc>
          <w:tcPr>
            <w:tcW w:type="dxa" w:w="2880"/>
          </w:tcPr>
          <w:p>
            <w:r>
              <w:t>Manufacturer catalogue</w:t>
            </w:r>
          </w:p>
        </w:tc>
      </w:tr>
      <w:tr>
        <w:tc>
          <w:tcPr>
            <w:tcW w:type="dxa" w:w="2880"/>
          </w:tcPr>
          <w:p>
            <w:r>
              <w:t>Material</w:t>
            </w:r>
          </w:p>
        </w:tc>
        <w:tc>
          <w:tcPr>
            <w:tcW w:type="dxa" w:w="2880"/>
          </w:tcPr>
          <w:p>
            <w:r>
              <w:t>Tape / Sealant</w:t>
            </w:r>
          </w:p>
        </w:tc>
        <w:tc>
          <w:tcPr>
            <w:tcW w:type="dxa" w:w="2880"/>
          </w:tcPr>
          <w:p>
            <w:r>
              <w:t>Manufacturer catalogue</w:t>
            </w:r>
          </w:p>
        </w:tc>
      </w:tr>
      <w:tr>
        <w:tc>
          <w:tcPr>
            <w:tcW w:type="dxa" w:w="2880"/>
          </w:tcPr>
          <w:p>
            <w:r>
              <w:t>Applications</w:t>
            </w:r>
          </w:p>
        </w:tc>
        <w:tc>
          <w:tcPr>
            <w:tcW w:type="dxa" w:w="2880"/>
          </w:tcPr>
          <w:p>
            <w:r>
              <w:t>General Installation</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https://pricewiseinsulation.com.au/wp-content/uploads/2023/09/ametalin-thermalbreak-product-data-sheet_2023.pdf.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Ametalin Accessory (accessory) by Ametalin,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https://www.ametalin.com/wp-content/uploads/PDFs/TDS/ThermalBreak-Technical-Data-Sheet_APM-45758-2.pdf.</w:t>
      </w:r>
    </w:p>
    <w:p>
      <w:r>
        <w:t>SRC-02 Safety data sheet: https://pricewiseinsulation.com.au/wp-content/uploads/2023/09/ametalin-thermalbreak-product-data-sheet_2023.pdf.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