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Thermal - Bradford</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50 Year Warranty backed by CSR.</w:t>
      </w:r>
    </w:p>
    <w:p>
      <w:pPr>
        <w:pStyle w:val="ListBullet"/>
      </w:pPr>
      <w:r>
        <w:t>ACCC certified.</w:t>
      </w:r>
    </w:p>
    <w:p>
      <w:pPr>
        <w:pStyle w:val="Heading1"/>
      </w:pPr>
      <w:r>
        <w:t>2. Applications and selection</w:t>
      </w:r>
    </w:p>
    <w:p>
      <w:pPr>
        <w:pStyle w:val="ListBullet"/>
      </w:pPr>
      <w:r>
        <w:t>Internal Wall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Wall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Thermal - Bradford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