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REFLECTIVE</w:t>
      </w:r>
    </w:p>
    <w:p>
      <w:r>
        <w:rPr>
          <w:sz w:val="44"/>
        </w:rPr>
        <w:t>Bradford Wall Wraps - Light Duty Residential</w:t>
      </w:r>
    </w:p>
    <w:p>
      <w:r>
        <w:t>Reflective foil insulation for radiant heat control</w:t>
      </w:r>
    </w:p>
    <w:p>
      <w:pPr>
        <w:pStyle w:val="Heading1"/>
      </w:pPr>
      <w:r>
        <w:t>1. Product description</w:t>
      </w:r>
    </w:p>
    <w:p>
      <w:r>
        <w:t>Part of the CSR family with 100+ years of Australian building solutions. Reflects up to 97% of radiant heat, reducing summer cooling costs.</w:t>
      </w:r>
    </w:p>
    <w:p>
      <w:pPr>
        <w:pStyle w:val="Heading2"/>
      </w:pPr>
      <w:r>
        <w:t>Key features</w:t>
      </w:r>
    </w:p>
    <w:p>
      <w:pPr>
        <w:pStyle w:val="ListBullet"/>
      </w:pPr>
      <w:r>
        <w:t>High-purity aluminium reflective facing.</w:t>
      </w:r>
    </w:p>
    <w:p>
      <w:pPr>
        <w:pStyle w:val="ListBullet"/>
      </w:pPr>
      <w:r>
        <w:t>reflects up to 97% of radiant heat.</w:t>
      </w:r>
    </w:p>
    <w:p>
      <w:pPr>
        <w:pStyle w:val="ListBullet"/>
      </w:pPr>
      <w:r>
        <w:t>lightweight and easy to install.</w:t>
      </w:r>
    </w:p>
    <w:p>
      <w:pPr>
        <w:pStyle w:val="ListBullet"/>
      </w:pPr>
      <w:r>
        <w:t>provides vapour barrier when properly sealed.</w:t>
      </w:r>
    </w:p>
    <w:p>
      <w:pPr>
        <w:pStyle w:val="ListBullet"/>
      </w:pPr>
      <w:r>
        <w:t>50 Year Warranty backed by CSR.</w:t>
      </w:r>
    </w:p>
    <w:p>
      <w:pPr>
        <w:pStyle w:val="ListBullet"/>
      </w:pPr>
      <w:r>
        <w:t>ACCC certified.</w:t>
      </w:r>
    </w:p>
    <w:p>
      <w:pPr>
        <w:pStyle w:val="Heading1"/>
      </w:pPr>
      <w:r>
        <w:t>2. Applications and selection</w:t>
      </w:r>
    </w:p>
    <w:p>
      <w:pPr>
        <w:pStyle w:val="ListBullet"/>
      </w:pPr>
      <w:r>
        <w:t>Wall Wrap / Sarking</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Reflective</w:t>
            </w:r>
          </w:p>
        </w:tc>
        <w:tc>
          <w:tcPr>
            <w:tcW w:type="dxa" w:w="2880"/>
          </w:tcPr>
          <w:p>
            <w:r>
              <w:t>Manufacturer catalogue</w:t>
            </w:r>
          </w:p>
        </w:tc>
      </w:tr>
      <w:tr>
        <w:tc>
          <w:tcPr>
            <w:tcW w:type="dxa" w:w="2880"/>
          </w:tcPr>
          <w:p>
            <w:r>
              <w:t>Material</w:t>
            </w:r>
          </w:p>
        </w:tc>
        <w:tc>
          <w:tcPr>
            <w:tcW w:type="dxa" w:w="2880"/>
          </w:tcPr>
          <w:p>
            <w:r>
              <w:t>Reflective Membrane</w:t>
            </w:r>
          </w:p>
        </w:tc>
        <w:tc>
          <w:tcPr>
            <w:tcW w:type="dxa" w:w="2880"/>
          </w:tcPr>
          <w:p>
            <w:r>
              <w:t>Manufacturer catalogue</w:t>
            </w:r>
          </w:p>
        </w:tc>
      </w:tr>
      <w:tr>
        <w:tc>
          <w:tcPr>
            <w:tcW w:type="dxa" w:w="2880"/>
          </w:tcPr>
          <w:p>
            <w:r>
              <w:t>Applications</w:t>
            </w:r>
          </w:p>
        </w:tc>
        <w:tc>
          <w:tcPr>
            <w:tcW w:type="dxa" w:w="2880"/>
          </w:tcPr>
          <w:p>
            <w:r>
              <w:t>Wall Wrap / Sarking</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https://www.firecrunch.com.au/wp-content/uploads/2016/02/BRADFORD-MSDS-e3a0-435b-b6ef-6f1027726ce6.pdf.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Bradford Wall Wraps - Light Duty Residential (reflective) by Bradford,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https://www.csrbradford.com.au/.</w:t>
      </w:r>
    </w:p>
    <w:p>
      <w:r>
        <w:t>SRC-02 Safety data sheet: https://www.firecrunch.com.au/wp-content/uploads/2016/02/BRADFORD-MSDS-e3a0-435b-b6ef-6f1027726ce6.pdf.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