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FIRE AND ACOUSTIC</w:t>
      </w:r>
    </w:p>
    <w:p>
      <w:r>
        <w:rPr>
          <w:sz w:val="44"/>
        </w:rPr>
        <w:t>Fletcher Protect / Fire Stop Party Wall Stonewool</w:t>
      </w:r>
    </w:p>
    <w:p>
      <w:r>
        <w:t>Fire and acoustic insulation product</w:t>
      </w:r>
    </w:p>
    <w:p>
      <w:pPr>
        <w:pStyle w:val="Heading1"/>
      </w:pPr>
      <w:r>
        <w:t>1. Product description</w:t>
      </w:r>
    </w:p>
    <w:p>
      <w:r>
        <w:t>This family groups Fletcher Protect stonewool components used in specified party-wall/fire/acoustic systems, including party-wall batts, foil-faced stonewool blanket and Fire Stop party-wall batts. These are not one interchangeable SKU. Their role depends on the proprietary/tested wall detail, location within the system, thickness, density, facing and required fire/acoustic performance.</w:t>
      </w:r>
    </w:p>
    <w:p>
      <w:pPr>
        <w:pStyle w:val="Heading2"/>
      </w:pPr>
      <w:r>
        <w:t>Key features</w:t>
      </w:r>
    </w:p>
    <w:p>
      <w:pPr>
        <w:pStyle w:val="Heading1"/>
      </w:pPr>
      <w:r>
        <w:t>2. Applications and selection</w:t>
      </w:r>
    </w:p>
    <w:p>
      <w:pPr>
        <w:pStyle w:val="ListBullet"/>
      </w:pPr>
      <w:r>
        <w:t>party wall</w:t>
      </w:r>
    </w:p>
    <w:p>
      <w:pPr>
        <w:pStyle w:val="ListBullet"/>
      </w:pPr>
      <w:r>
        <w:t>separating wall</w:t>
      </w:r>
    </w:p>
    <w:p>
      <w:pPr>
        <w:pStyle w:val="ListBullet"/>
      </w:pPr>
      <w:r>
        <w:t>intertenancy wall</w:t>
      </w:r>
    </w:p>
    <w:p>
      <w:pPr>
        <w:pStyle w:val="ListBullet"/>
      </w:pPr>
      <w:r>
        <w:t>roof junction</w:t>
      </w:r>
    </w:p>
    <w:p>
      <w:pPr>
        <w:pStyle w:val="ListBullet"/>
      </w:pPr>
      <w:r>
        <w:t>fire stopping</w:t>
      </w:r>
    </w:p>
    <w:p>
      <w:pPr>
        <w:pStyle w:val="Heading2"/>
      </w:pPr>
      <w:r>
        <w:t>Selection checklist</w:t>
      </w:r>
    </w:p>
    <w:p>
      <w:pPr>
        <w:pStyle w:val="ListNumber"/>
      </w:pPr>
      <w:r>
        <w:t>Confirm the application matches the family.</w:t>
      </w:r>
    </w:p>
    <w:p>
      <w:pPr>
        <w:pStyle w:val="ListNumber"/>
      </w:pPr>
      <w:r>
        <w:t>Confirm the target rating and construction build-up.</w:t>
      </w:r>
    </w:p>
    <w:p>
      <w:pPr>
        <w:pStyle w:val="ListNumber"/>
      </w:pPr>
      <w:r>
        <w:t>Confirm available depth against product dimensions.</w:t>
      </w:r>
    </w:p>
    <w:p>
      <w:pPr>
        <w:pStyle w:val="ListNumber"/>
      </w:pPr>
      <w:r>
        <w:t>Check NCC, fire, BAL or acoustic requirements with a qualified reviewer.</w:t>
      </w:r>
    </w:p>
    <w:p>
      <w:pPr>
        <w:pStyle w:val="ListNumber"/>
      </w:pPr>
      <w:r>
        <w:t>Record the suburb/postcode for climate-zone checks.</w:t>
      </w:r>
    </w:p>
    <w:p>
      <w:pPr>
        <w:pStyle w:val="Heading1"/>
      </w:pPr>
      <w:r>
        <w:t>3. Current catalogue range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SKU</w:t>
            </w:r>
          </w:p>
        </w:tc>
        <w:tc>
          <w:tcPr>
            <w:tcW w:type="dxa" w:w="2880"/>
          </w:tcPr>
          <w:p>
            <w:r>
              <w:t>Product</w:t>
            </w:r>
          </w:p>
        </w:tc>
        <w:tc>
          <w:tcPr>
            <w:tcW w:type="dxa" w:w="2880"/>
          </w:tcPr>
          <w:p>
            <w:r>
              <w:t>Published rating</w:t>
            </w:r>
          </w:p>
        </w:tc>
      </w:tr>
      <w:tr>
        <w:tc>
          <w:tcPr>
            <w:tcW w:type="dxa" w:w="2880"/>
          </w:tcPr>
          <w:p>
            <w:r>
              <w:t>FI PW Batt 168</w:t>
            </w:r>
          </w:p>
        </w:tc>
        <w:tc>
          <w:tcPr>
            <w:tcW w:type="dxa" w:w="2880"/>
          </w:tcPr>
          <w:p>
            <w:r>
              <w:t>P/Wall Btt 1200*168*100 338005</w:t>
            </w:r>
          </w:p>
        </w:tc>
        <w:tc>
          <w:tcPr>
            <w:tcW w:type="dxa" w:w="2880"/>
          </w:tcPr>
          <w:p>
            <w:r>
              <w:t>R2.0</w:t>
            </w:r>
          </w:p>
        </w:tc>
      </w:tr>
      <w:tr>
        <w:tc>
          <w:tcPr>
            <w:tcW w:type="dxa" w:w="2880"/>
          </w:tcPr>
          <w:p>
            <w:r>
              <w:t>FI Protect PW Batt 300</w:t>
            </w:r>
          </w:p>
        </w:tc>
        <w:tc>
          <w:tcPr>
            <w:tcW w:type="dxa" w:w="2880"/>
          </w:tcPr>
          <w:p>
            <w:r>
              <w:t>Protect PW Batt 1200*300*50</w:t>
            </w:r>
          </w:p>
        </w:tc>
        <w:tc>
          <w:tcPr>
            <w:tcW w:type="dxa" w:w="2880"/>
          </w:tcPr>
          <w:p>
            <w:r>
              <w:t>Not stated</w:t>
            </w:r>
          </w:p>
        </w:tc>
      </w:tr>
      <w:tr>
        <w:tc>
          <w:tcPr>
            <w:tcW w:type="dxa" w:w="2880"/>
          </w:tcPr>
          <w:p>
            <w:r>
              <w:t>FI Protect PW Batt 300</w:t>
            </w:r>
          </w:p>
        </w:tc>
        <w:tc>
          <w:tcPr>
            <w:tcW w:type="dxa" w:w="2880"/>
          </w:tcPr>
          <w:p>
            <w:r>
              <w:t>Fletcher Protect Party Wall Stonewool Batts</w:t>
            </w:r>
          </w:p>
        </w:tc>
        <w:tc>
          <w:tcPr>
            <w:tcW w:type="dxa" w:w="2880"/>
          </w:tcPr>
          <w:p>
            <w:r>
              <w:t>R1.5</w:t>
            </w:r>
          </w:p>
        </w:tc>
      </w:tr>
      <w:tr>
        <w:tc>
          <w:tcPr>
            <w:tcW w:type="dxa" w:w="2880"/>
          </w:tcPr>
          <w:p>
            <w:r>
              <w:t>FL-4006705</w:t>
            </w:r>
          </w:p>
        </w:tc>
        <w:tc>
          <w:tcPr>
            <w:tcW w:type="dxa" w:w="2880"/>
          </w:tcPr>
          <w:p>
            <w:r>
              <w:t>MW FIRESEAL 750X225X13 (60) PartyWall</w:t>
            </w:r>
          </w:p>
        </w:tc>
        <w:tc>
          <w:tcPr>
            <w:tcW w:type="dxa" w:w="2880"/>
          </w:tcPr>
          <w:p>
            <w:r>
              <w:t>R1.5</w:t>
            </w:r>
          </w:p>
        </w:tc>
      </w:tr>
      <w:tr>
        <w:tc>
          <w:tcPr>
            <w:tcW w:type="dxa" w:w="2880"/>
          </w:tcPr>
          <w:p>
            <w:r>
              <w:t>FL-4006706</w:t>
            </w:r>
          </w:p>
        </w:tc>
        <w:tc>
          <w:tcPr>
            <w:tcW w:type="dxa" w:w="2880"/>
          </w:tcPr>
          <w:p>
            <w:r>
              <w:t>MW PARTYWALL BATT 1200X168X100 (10)</w:t>
            </w:r>
          </w:p>
        </w:tc>
        <w:tc>
          <w:tcPr>
            <w:tcW w:type="dxa" w:w="2880"/>
          </w:tcPr>
          <w:p>
            <w:r>
              <w:t>R2.0</w:t>
            </w:r>
          </w:p>
        </w:tc>
      </w:tr>
      <w:tr>
        <w:tc>
          <w:tcPr>
            <w:tcW w:type="dxa" w:w="2880"/>
          </w:tcPr>
          <w:p>
            <w:r>
              <w:t>FL-4006707</w:t>
            </w:r>
          </w:p>
        </w:tc>
        <w:tc>
          <w:tcPr>
            <w:tcW w:type="dxa" w:w="2880"/>
          </w:tcPr>
          <w:p>
            <w:r>
              <w:t>MW PARTYWALL BATT 1000X200X50 (3)</w:t>
            </w:r>
          </w:p>
        </w:tc>
        <w:tc>
          <w:tcPr>
            <w:tcW w:type="dxa" w:w="2880"/>
          </w:tcPr>
          <w:p>
            <w:r>
              <w:t>R1.5</w:t>
            </w:r>
          </w:p>
        </w:tc>
      </w:tr>
      <w:tr>
        <w:tc>
          <w:tcPr>
            <w:tcW w:type="dxa" w:w="2880"/>
          </w:tcPr>
          <w:p>
            <w:r>
              <w:t>FL-4006708</w:t>
            </w:r>
          </w:p>
        </w:tc>
        <w:tc>
          <w:tcPr>
            <w:tcW w:type="dxa" w:w="2880"/>
          </w:tcPr>
          <w:p>
            <w:r>
              <w:t>MW FIRE STRIP 1000X225X13 (60)</w:t>
            </w:r>
          </w:p>
        </w:tc>
        <w:tc>
          <w:tcPr>
            <w:tcW w:type="dxa" w:w="2880"/>
          </w:tcPr>
          <w:p>
            <w:r>
              <w:t>R0.53</w:t>
            </w:r>
          </w:p>
        </w:tc>
      </w:tr>
      <w:tr>
        <w:tc>
          <w:tcPr>
            <w:tcW w:type="dxa" w:w="2880"/>
          </w:tcPr>
          <w:p>
            <w:r>
              <w:t>FL-4021101</w:t>
            </w:r>
          </w:p>
        </w:tc>
        <w:tc>
          <w:tcPr>
            <w:tcW w:type="dxa" w:w="2880"/>
          </w:tcPr>
          <w:p>
            <w:r>
              <w:t>PROTECT FF ROLL 5000X300X50MM Batts (4)</w:t>
            </w:r>
          </w:p>
        </w:tc>
        <w:tc>
          <w:tcPr>
            <w:tcW w:type="dxa" w:w="2880"/>
          </w:tcPr>
          <w:p>
            <w:r>
              <w:t>R1.42</w:t>
            </w:r>
          </w:p>
        </w:tc>
      </w:tr>
      <w:tr>
        <w:tc>
          <w:tcPr>
            <w:tcW w:type="dxa" w:w="2880"/>
          </w:tcPr>
          <w:p>
            <w:r>
              <w:t>FL-4021102</w:t>
            </w:r>
          </w:p>
        </w:tc>
        <w:tc>
          <w:tcPr>
            <w:tcW w:type="dxa" w:w="2880"/>
          </w:tcPr>
          <w:p>
            <w:r>
              <w:t>PROTECT PWALL BATT 100X168X1200MM (10)</w:t>
            </w:r>
          </w:p>
        </w:tc>
        <w:tc>
          <w:tcPr>
            <w:tcW w:type="dxa" w:w="2880"/>
          </w:tcPr>
          <w:p>
            <w:r>
              <w:t>R2.0</w:t>
            </w:r>
          </w:p>
        </w:tc>
      </w:tr>
    </w:tbl>
    <w:p>
      <w:pPr>
        <w:pStyle w:val="Heading1"/>
      </w:pPr>
      <w:r>
        <w:t>4. Technical data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Property</w:t>
            </w:r>
          </w:p>
        </w:tc>
        <w:tc>
          <w:tcPr>
            <w:tcW w:type="dxa" w:w="2880"/>
          </w:tcPr>
          <w:p>
            <w:r>
              <w:t>Value</w:t>
            </w:r>
          </w:p>
        </w:tc>
        <w:tc>
          <w:tcPr>
            <w:tcW w:type="dxa" w:w="2880"/>
          </w:tcPr>
          <w:p>
            <w:r>
              <w:t>Source</w:t>
            </w:r>
          </w:p>
        </w:tc>
      </w:tr>
      <w:tr>
        <w:tc>
          <w:tcPr>
            <w:tcW w:type="dxa" w:w="2880"/>
          </w:tcPr>
          <w:p>
            <w:r>
              <w:t>Product type</w:t>
            </w:r>
          </w:p>
        </w:tc>
        <w:tc>
          <w:tcPr>
            <w:tcW w:type="dxa" w:w="2880"/>
          </w:tcPr>
          <w:p>
            <w:r>
              <w:t>Fire and acoustic</w:t>
            </w:r>
          </w:p>
        </w:tc>
        <w:tc>
          <w:tcPr>
            <w:tcW w:type="dxa" w:w="2880"/>
          </w:tcPr>
          <w:p>
            <w:r>
              <w:t>Manufacturer catalogue</w:t>
            </w:r>
          </w:p>
        </w:tc>
      </w:tr>
      <w:tr>
        <w:tc>
          <w:tcPr>
            <w:tcW w:type="dxa" w:w="2880"/>
          </w:tcPr>
          <w:p>
            <w:r>
              <w:t>Material</w:t>
            </w:r>
          </w:p>
        </w:tc>
        <w:tc>
          <w:tcPr>
            <w:tcW w:type="dxa" w:w="2880"/>
          </w:tcPr>
          <w:p>
            <w:r>
              <w:t>Rockwool</w:t>
            </w:r>
          </w:p>
        </w:tc>
        <w:tc>
          <w:tcPr>
            <w:tcW w:type="dxa" w:w="2880"/>
          </w:tcPr>
          <w:p>
            <w:r>
              <w:t>Manufacturer catalogue</w:t>
            </w:r>
          </w:p>
        </w:tc>
      </w:tr>
      <w:tr>
        <w:tc>
          <w:tcPr>
            <w:tcW w:type="dxa" w:w="2880"/>
          </w:tcPr>
          <w:p>
            <w:r>
              <w:t>Applications</w:t>
            </w:r>
          </w:p>
        </w:tc>
        <w:tc>
          <w:tcPr>
            <w:tcW w:type="dxa" w:w="2880"/>
          </w:tcPr>
          <w:p>
            <w:r>
              <w:t>party wall; separating wall; intertenancy wall; roof junction; fire stopping</w:t>
            </w:r>
          </w:p>
        </w:tc>
        <w:tc>
          <w:tcPr>
            <w:tcW w:type="dxa" w:w="2880"/>
          </w:tcPr>
          <w:p>
            <w:r>
              <w:t>Manufacturer catalogue</w:t>
            </w:r>
          </w:p>
        </w:tc>
      </w:tr>
    </w:tbl>
    <w:p>
      <w:pPr>
        <w:pStyle w:val="Heading1"/>
      </w:pPr>
      <w:r>
        <w:t>5. Fire, testing and compliance context</w:t>
      </w:r>
    </w:p>
    <w:p>
      <w:r>
        <w:t>NCC / project compliance: conditional - project-specific evidence required. Fire: not verified per SKU. BAL: not verified.</w:t>
      </w:r>
    </w:p>
    <w:p>
      <w:pPr>
        <w:pStyle w:val="Heading1"/>
      </w:pPr>
      <w:r>
        <w:t>6. Installation overview</w:t>
      </w:r>
    </w:p>
    <w:p>
      <w:r>
        <w:t>Use the current manufacturer instructions and the project specification. Handling, fixing and jointing details must be confirmed against the TDS for the selected SKU.</w:t>
      </w:r>
    </w:p>
    <w:p>
      <w:pPr>
        <w:pStyle w:val="Heading1"/>
      </w:pPr>
      <w:r>
        <w:t>7. Safety, handling and SDS status</w:t>
      </w:r>
    </w:p>
    <w:p>
      <w:r>
        <w:t>SDS: to be sourced. Confirm the current SDS before handling or cutting.</w:t>
      </w:r>
    </w:p>
    <w:p>
      <w:pPr>
        <w:pStyle w:val="Heading1"/>
      </w:pPr>
      <w:r>
        <w:t>8. Sustainability and indoor environment</w:t>
      </w:r>
    </w:p>
    <w:p>
      <w:r>
        <w:t>Sustainability and VOC statements are manufacturer-published claims and are not independently verified in this draft.</w:t>
      </w:r>
    </w:p>
    <w:p>
      <w:pPr>
        <w:pStyle w:val="Heading1"/>
      </w:pPr>
      <w:r>
        <w:t>9. Warranty, returns and support</w:t>
      </w:r>
    </w:p>
    <w:p>
      <w:r>
        <w:t>No product-specific warranty term is asserted in this draft. Refer to the manufacturer's general terms.</w:t>
      </w:r>
    </w:p>
    <w:p>
      <w:pPr>
        <w:pStyle w:val="Heading1"/>
      </w:pPr>
      <w:r>
        <w:t>10. Specification starting point</w:t>
      </w:r>
    </w:p>
    <w:p>
      <w:r>
        <w:t>Insulation shall be Fletcher Protect / Fire Stop Party Wall Stonewool (fire and acoustic) by Fletcher, selected to suit the confirmed application and required rating. Exact product, thickness and compliance to be confirmed by the project reviewer against the current manufacturer TDS before ordering.</w:t>
      </w:r>
    </w:p>
    <w:p>
      <w:pPr>
        <w:pStyle w:val="Heading1"/>
      </w:pPr>
      <w:r>
        <w:t>11. Public document register</w:t>
      </w:r>
    </w:p>
    <w:p>
      <w:r>
        <w:t>SRC-01 Manufacturer datasheet: https://insulation.com.au/product/fletcher-protect-party-wall-stonewool-batts/.</w:t>
      </w:r>
    </w:p>
    <w:p>
      <w:r>
        <w:t>SRC-02 Safety data sheet: to be sourced.</w:t>
      </w:r>
    </w:p>
    <w:p>
      <w:pPr>
        <w:pStyle w:val="Heading1"/>
      </w:pPr>
      <w:r>
        <w:t>12. Technical-review actions before publication</w:t>
      </w:r>
    </w:p>
    <w:p>
      <w:pPr>
        <w:pStyle w:val="ListBullet"/>
      </w:pPr>
      <w:r>
        <w:t>Confirm the exact product TDS deep link and re-validate all technical values.</w:t>
      </w:r>
    </w:p>
    <w:p>
      <w:pPr>
        <w:pStyle w:val="ListBullet"/>
      </w:pPr>
      <w:r>
        <w:t>Confirm SDS currency and handling guidance.</w:t>
      </w:r>
    </w:p>
    <w:p>
      <w:pPr>
        <w:pStyle w:val="ListBullet"/>
      </w:pPr>
      <w:r>
        <w:t>Approve environmental and warranty wording with the manufacturer.</w:t>
      </w:r>
    </w:p>
    <w:p>
      <w:pPr>
        <w:pStyle w:val="ListBullet"/>
      </w:pPr>
      <w:r>
        <w:t>Human review of NCC, fire, BAL and acoustic claims remains mandatory.</w:t>
      </w:r>
    </w:p>
    <w:p>
      <w:r>
        <w:t>Draft generated 2026-09-05 from the internal knowledge base. Technical values and claims remain subject to manufacturer review before publication.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