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WRAP</w:t>
      </w:r>
    </w:p>
    <w:p>
      <w:r>
        <w:rPr>
          <w:sz w:val="44"/>
        </w:rPr>
        <w:t>ProctorWrap Plasti-Grip Washers</w:t>
      </w:r>
    </w:p>
    <w:p>
      <w:r>
        <w:t>Reflective membrane for weather protection and condensation control</w:t>
      </w:r>
    </w:p>
    <w:p>
      <w:pPr>
        <w:pStyle w:val="Heading1"/>
      </w:pPr>
      <w:r>
        <w:t>1. Product description</w:t>
      </w:r>
    </w:p>
    <w:p>
      <w:r>
        <w:t>Quality insulation engineered for Australian conditions. Engineered to meet the demanding requirements of Australian building conditions.</w:t>
      </w:r>
    </w:p>
    <w:p>
      <w:pPr>
        <w:pStyle w:val="Heading2"/>
      </w:pPr>
      <w:r>
        <w:t>Key features</w:t>
      </w:r>
    </w:p>
    <w:p>
      <w:pPr>
        <w:pStyle w:val="ListBullet"/>
      </w:pPr>
      <w:r>
        <w:t>Purpose-designed accessory for insulation systems.</w:t>
      </w:r>
    </w:p>
    <w:p>
      <w:pPr>
        <w:pStyle w:val="ListBullet"/>
      </w:pPr>
      <w:r>
        <w:t>compatible with specified insulation products.</w:t>
      </w:r>
    </w:p>
    <w:p>
      <w:pPr>
        <w:pStyle w:val="ListBullet"/>
      </w:pPr>
      <w:r>
        <w:t>maintains system integrity and performance.</w:t>
      </w:r>
    </w:p>
    <w:p>
      <w:pPr>
        <w:pStyle w:val="Heading1"/>
      </w:pPr>
      <w:r>
        <w:t>2. Applications and selection</w:t>
      </w:r>
    </w:p>
    <w:p>
      <w:pPr>
        <w:pStyle w:val="ListBullet"/>
      </w:pPr>
      <w:r>
        <w:t>Wall Wrap / Sarking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Wrap</w:t>
            </w:r>
          </w:p>
        </w:tc>
        <w:tc>
          <w:tcPr>
            <w:tcW w:type="dxa" w:w="2880"/>
          </w:tcPr>
          <w:p>
            <w:r>
              <w:t>Manufacturer catalogue</w:t>
            </w:r>
          </w:p>
        </w:tc>
      </w:tr>
      <w:tr>
        <w:tc>
          <w:tcPr>
            <w:tcW w:type="dxa" w:w="2880"/>
          </w:tcPr>
          <w:p>
            <w:r>
              <w:t>Material</w:t>
            </w:r>
          </w:p>
        </w:tc>
        <w:tc>
          <w:tcPr>
            <w:tcW w:type="dxa" w:w="2880"/>
          </w:tcPr>
          <w:p>
            <w:r>
              <w:t>Accessory</w:t>
            </w:r>
          </w:p>
        </w:tc>
        <w:tc>
          <w:tcPr>
            <w:tcW w:type="dxa" w:w="2880"/>
          </w:tcPr>
          <w:p>
            <w:r>
              <w:t>Manufacturer catalogue</w:t>
            </w:r>
          </w:p>
        </w:tc>
      </w:tr>
      <w:tr>
        <w:tc>
          <w:tcPr>
            <w:tcW w:type="dxa" w:w="2880"/>
          </w:tcPr>
          <w:p>
            <w:r>
              <w:t>Applications</w:t>
            </w:r>
          </w:p>
        </w:tc>
        <w:tc>
          <w:tcPr>
            <w:tcW w:type="dxa" w:w="2880"/>
          </w:tcPr>
          <w:p>
            <w:r>
              <w:t>Wall Wrap / Sarking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https://proctorgroup.com.au/wp-content/uploads/2021/02/DCT_PIR_Silver_White_Tissue_Ver_2_2020-2.pdf.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ProctorWrap Plasti-Grip Washers (wrap) by Proctor,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https://proctorgroup.com.au/.</w:t>
      </w:r>
    </w:p>
    <w:p>
      <w:r>
        <w:t>SRC-02 Safety data sheet: https://proctorgroup.com.au/wp-content/uploads/2021/02/DCT_PIR_Silver_White_Tissue_Ver_2_2020-2.pdf.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