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dependency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 xml:space="preserve">   </w:t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groupId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org.testng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groupId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 xml:space="preserve">      </w:t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artifactId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FFFF00" w:val="clear" w:color="auto"/>
        </w:rPr>
        <w:t>testng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artifactId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 xml:space="preserve">      </w:t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version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6.9.x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version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 xml:space="preserve">      </w:t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scope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test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scope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dependency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=========================</w:t>
      </w: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dependency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groupId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org.seleniumhq.selenium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groupId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artifactId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FFFF00" w:val="clear" w:color="auto"/>
        </w:rPr>
        <w:t>selenium-java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artifactId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version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2.xx.x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version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dependency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============================</w:t>
      </w: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plugin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groupId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org.apache.maven.plugins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groupId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artifactId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FFFF00" w:val="clear" w:color="auto"/>
        </w:rPr>
        <w:t>maven-compiler-plugi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FFFF00" w:val="clear" w:color="auto"/>
        </w:rPr>
        <w:t>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artifactId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version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3.5.1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version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configuration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source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${jdk.level}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source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target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${jdk.level}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target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configuration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plugin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===============================</w:t>
      </w: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  <w:r>
        <w:rPr>
          <w:rFonts w:ascii="TeXGyreCursor Bold" w:eastAsia="TeXGyreCursor Bold" w:hAnsi="TeXGyreCursor Bold" w:cs="TeXGyreCursor Bold"/>
          <w:b w:val="true"/>
          <w:i w:val="false"/>
          <w:color w:themeColor="text1" w:val="000000"/>
          <w:spacing w:val="0"/>
          <w:sz w:val="19"/>
          <w:u w:val="none"/>
          <w:shd w:fill="auto" w:val="clear" w:color="auto"/>
        </w:rPr>
        <w:t>Maven-surefire-plugin: Surefire-plugin is responsible for running tests that are placed in test source directory</w:t>
      </w: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plugin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groupId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org.apache.maven.plugins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groupId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artifactId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FFFF00" w:val="clear" w:color="auto"/>
        </w:rPr>
        <w:t>maven-surefire-plugin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artifactId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version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2.19.1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version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configuration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suiteXmlFiles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true"/>
          <w:color w:val="999988"/>
          <w:spacing w:val="0"/>
          <w:sz w:val="19"/>
          <w:u w:val="none"/>
          <w:shd w:fill="auto" w:val="clear" w:color="auto"/>
        </w:rPr>
        <w:t>&lt;!-- TestNG suite XML files --&gt;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suiteXmlFile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0000"/>
          <w:spacing w:val="0"/>
          <w:sz w:val="19"/>
          <w:u w:val="none"/>
          <w:shd w:fill="EEEEEE" w:val="clear" w:color="auto"/>
        </w:rPr>
        <w:t>testng.xml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suiteXmlFile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suiteXmlFiles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tab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configuration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&lt;/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plugin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</w:p>
    <w:p>
      <w:pPr>
        <w:pBdr/>
        <w:rPr>
          <w:rFonts w:ascii="TeXGyreCursor Regular" w:eastAsia="TeXGyreCursor Regular" w:hAnsi="TeXGyreCursor Regular" w:cs="TeXGyreCursor Regular"/>
          <w:b w:val="false"/>
          <w:i w:val="false"/>
          <w:smallCaps w:val="true"/>
          <w:color w:val="007700"/>
          <w:spacing w:val="0"/>
          <w:sz w:val="19"/>
          <w:u w:val="none"/>
          <w:shd w:fill="auto" w:val="clear" w:color="auto"/>
          <w:vertAlign w:val="superscript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build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&lt;</w:t>
      </w:r>
      <w:r>
        <w:rPr>
          <w:rFonts w:ascii="TeXGyreCursor Bold" w:eastAsia="TeXGyreCursor Bold" w:hAnsi="TeXGyreCursor Bold" w:cs="TeXGyreCursor Bold"/>
          <w:b w:val="true"/>
          <w:i w:val="false"/>
          <w:color w:val="000000"/>
          <w:spacing w:val="0"/>
          <w:sz w:val="19"/>
          <w:u w:val="none"/>
          <w:shd w:fill="auto" w:val="clear" w:color="auto"/>
        </w:rPr>
        <w:t>plugins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007700"/>
          <w:spacing w:val="0"/>
          <w:sz w:val="19"/>
          <w:u w:val="none"/>
          <w:shd w:fill="auto" w:val="clear" w:color="auto"/>
        </w:rPr>
        <w:t>&gt; (after the properties)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319825e-e089-4569-86d1-a1b08d7e9334" w:subsetted="0"/>
  </w:font>
  <w:font w:name="TeXGyreCursor Regular">
    <w:embedRegular r:id="rIdc092955a-5f10-4fb3-81e1-e7aa6f339f0d" w:subsetted="0"/>
  </w:font>
  <w:font w:name="TeXGyreCursor Bold">
    <w:embedBold r:id="rIdee27528e-5ca6-4eb8-a194-14360b9d3b9d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b319825e-e089-4569-86d1-a1b08d7e9334" Target="fonts/robotoregular.ttf" Type="http://schemas.openxmlformats.org/officeDocument/2006/relationships/font"/>
<Relationship Id="rIdc092955a-5f10-4fb3-81e1-e7aa6f339f0d" Target="fonts/texgyrecursorregular.ttf" Type="http://schemas.openxmlformats.org/officeDocument/2006/relationships/font"/>
<Relationship Id="rIdee27528e-5ca6-4eb8-a194-14360b9d3b9d" Target="fonts/texgyrecursorbold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2020-02-23T21:49:28Z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