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9F5B2E"/>
          <w:sz w:val="16"/>
        </w:rPr>
        <w:t>FICTIONAL DEMO DOCUMENT · NOT A REAL BANK OR VENDOR RECORD</w:t>
      </w:r>
    </w:p>
    <w:p>
      <w:pPr>
        <w:pStyle w:val="Title"/>
      </w:pPr>
      <w:r>
        <w:t>Third-Party IT Risk Assessment Standard</w:t>
      </w:r>
    </w:p>
    <w:tbl>
      <w:tblPr>
        <w:tblStyle w:val="LightShading-Accent1"/>
        <w:tblW w:type="auto" w:w="0"/>
        <w:jc w:val="center"/>
        <w:tblLook w:firstColumn="1" w:firstRow="1" w:lastColumn="0" w:lastRow="0" w:noHBand="0" w:noVBand="1" w:val="04A0"/>
      </w:tblPr>
      <w:tblGrid>
        <w:gridCol w:w="4968"/>
        <w:gridCol w:w="4968"/>
      </w:tblGrid>
      <w:tr>
        <w:tc>
          <w:tcPr>
            <w:tcW w:type="dxa" w:w="4968"/>
          </w:tcPr>
          <w:p>
            <w:r>
              <w:rPr>
                <w:b/>
              </w:rPr>
              <w:t>Document code</w:t>
            </w:r>
          </w:p>
        </w:tc>
        <w:tc>
          <w:tcPr>
            <w:tcW w:type="dxa" w:w="4968"/>
          </w:tcPr>
          <w:p>
            <w:r>
              <w:t>TPRM-STD-001</w:t>
            </w:r>
          </w:p>
        </w:tc>
      </w:tr>
      <w:tr>
        <w:tc>
          <w:tcPr>
            <w:tcW w:type="dxa" w:w="4968"/>
          </w:tcPr>
          <w:p>
            <w:r>
              <w:rPr>
                <w:b/>
              </w:rPr>
              <w:t>Version</w:t>
            </w:r>
          </w:p>
        </w:tc>
        <w:tc>
          <w:tcPr>
            <w:tcW w:type="dxa" w:w="4968"/>
          </w:tcPr>
          <w:p>
            <w:r>
              <w:t>1.0</w:t>
            </w:r>
          </w:p>
        </w:tc>
      </w:tr>
      <w:tr>
        <w:tc>
          <w:tcPr>
            <w:tcW w:type="dxa" w:w="4968"/>
          </w:tcPr>
          <w:p>
            <w:r>
              <w:rPr>
                <w:b/>
              </w:rPr>
              <w:t>Owner / author</w:t>
            </w:r>
          </w:p>
        </w:tc>
        <w:tc>
          <w:tcPr>
            <w:tcW w:type="dxa" w:w="4968"/>
          </w:tcPr>
          <w:p>
            <w:r>
              <w:t>Acme Demo Bank Technology Risk</w:t>
            </w:r>
          </w:p>
        </w:tc>
      </w:tr>
      <w:tr>
        <w:tc>
          <w:tcPr>
            <w:tcW w:type="dxa" w:w="4968"/>
          </w:tcPr>
          <w:p>
            <w:r>
              <w:rPr>
                <w:b/>
              </w:rPr>
              <w:t>Document type</w:t>
            </w:r>
          </w:p>
        </w:tc>
        <w:tc>
          <w:tcPr>
            <w:tcW w:type="dxa" w:w="4968"/>
          </w:tcPr>
          <w:p>
            <w:r>
              <w:t>Internal risk standard</w:t>
            </w:r>
          </w:p>
        </w:tc>
      </w:tr>
      <w:tr>
        <w:tc>
          <w:tcPr>
            <w:tcW w:type="dxa" w:w="4968"/>
          </w:tcPr>
          <w:p>
            <w:r>
              <w:rPr>
                <w:b/>
              </w:rPr>
              <w:t>Effective / submitted</w:t>
            </w:r>
          </w:p>
        </w:tc>
        <w:tc>
          <w:tcPr>
            <w:tcW w:type="dxa" w:w="4968"/>
          </w:tcPr>
          <w:p>
            <w:r>
              <w:t>15 September 2026 (fictional demo date)</w:t>
            </w:r>
          </w:p>
        </w:tc>
      </w:tr>
      <w:tr>
        <w:tc>
          <w:tcPr>
            <w:tcW w:type="dxa" w:w="4968"/>
          </w:tcPr>
          <w:p>
            <w:r>
              <w:rPr>
                <w:b/>
              </w:rPr>
              <w:t>Organization</w:t>
            </w:r>
          </w:p>
        </w:tc>
        <w:tc>
          <w:tcPr>
            <w:tcW w:type="dxa" w:w="4968"/>
          </w:tcPr>
          <w:p>
            <w:r>
              <w:t>Acme Demo Bank</w:t>
            </w:r>
          </w:p>
        </w:tc>
      </w:tr>
    </w:tbl>
    <w:p>
      <w:r>
        <w:t>Use only as synthetic portfolio-demo material. This document does not establish actual bank policy, regulatory compliance, or a real vendor certification.</w:t>
      </w:r>
    </w:p>
    <w:p>
      <w:pPr>
        <w:pStyle w:val="Heading1"/>
      </w:pPr>
      <w:r>
        <w:t>1. Purpose and scope</w:t>
      </w:r>
    </w:p>
    <w:p>
      <w:r>
        <w:t>This fictional standard describes how Acme Demo Bank assesses external technology providers before they receive bank data, connect to bank systems, or support an important bank service. It applies to cloud, software, managed-service, infrastructure, data-processing, and AI providers.</w:t>
      </w:r>
    </w:p>
    <w:p>
      <w:pPr>
        <w:pStyle w:val="Heading1"/>
      </w:pPr>
      <w:r>
        <w:t>2. Inherent risk tiers</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tcPr>
          <w:p>
            <w:r>
              <w:rPr>
                <w:b/>
              </w:rPr>
              <w:t>Tier</w:t>
            </w:r>
          </w:p>
        </w:tc>
        <w:tc>
          <w:tcPr>
            <w:tcW w:type="dxa" w:w="3312"/>
          </w:tcPr>
          <w:p>
            <w:r>
              <w:rPr>
                <w:b/>
              </w:rPr>
              <w:t>Example trigger</w:t>
            </w:r>
          </w:p>
        </w:tc>
        <w:tc>
          <w:tcPr>
            <w:tcW w:type="dxa" w:w="3312"/>
          </w:tcPr>
          <w:p>
            <w:r>
              <w:rPr>
                <w:b/>
              </w:rPr>
              <w:t>Review expectation</w:t>
            </w:r>
          </w:p>
        </w:tc>
      </w:tr>
      <w:tr>
        <w:tc>
          <w:tcPr>
            <w:tcW w:type="dxa" w:w="3312"/>
          </w:tcPr>
          <w:p>
            <w:r>
              <w:t>Low</w:t>
            </w:r>
          </w:p>
        </w:tc>
        <w:tc>
          <w:tcPr>
            <w:tcW w:type="dxa" w:w="3312"/>
          </w:tcPr>
          <w:p>
            <w:r>
              <w:t>No bank data, no production access, and easy replacement.</w:t>
            </w:r>
          </w:p>
        </w:tc>
        <w:tc>
          <w:tcPr>
            <w:tcW w:type="dxa" w:w="3312"/>
          </w:tcPr>
          <w:p>
            <w:r>
              <w:t>Business owner and Procurement review; confirm scope and contract owner.</w:t>
            </w:r>
          </w:p>
        </w:tc>
      </w:tr>
      <w:tr>
        <w:tc>
          <w:tcPr>
            <w:tcW w:type="dxa" w:w="3312"/>
          </w:tcPr>
          <w:p>
            <w:r>
              <w:t>Moderate</w:t>
            </w:r>
          </w:p>
        </w:tc>
        <w:tc>
          <w:tcPr>
            <w:tcW w:type="dxa" w:w="3312"/>
          </w:tcPr>
          <w:p>
            <w:r>
              <w:t>Internal information or limited non-privileged access; service is replaceable.</w:t>
            </w:r>
          </w:p>
        </w:tc>
        <w:tc>
          <w:tcPr>
            <w:tcW w:type="dxa" w:w="3312"/>
          </w:tcPr>
          <w:p>
            <w:r>
              <w:t>Business owner, Procurement, and Information Security review proportionate evidence.</w:t>
            </w:r>
          </w:p>
        </w:tc>
      </w:tr>
      <w:tr>
        <w:tc>
          <w:tcPr>
            <w:tcW w:type="dxa" w:w="3312"/>
          </w:tcPr>
          <w:p>
            <w:r>
              <w:t>High</w:t>
            </w:r>
          </w:p>
        </w:tc>
        <w:tc>
          <w:tcPr>
            <w:tcW w:type="dxa" w:w="3312"/>
          </w:tcPr>
          <w:p>
            <w:r>
              <w:t>Customer or restricted data, privileged access, material subcontracting, or significant customer impact.</w:t>
            </w:r>
          </w:p>
        </w:tc>
        <w:tc>
          <w:tcPr>
            <w:tcW w:type="dxa" w:w="3312"/>
          </w:tcPr>
          <w:p>
            <w:r>
              <w:t>Security, Privacy, Legal, Business Continuity, Procurement, and service owner review.</w:t>
            </w:r>
          </w:p>
        </w:tc>
      </w:tr>
      <w:tr>
        <w:tc>
          <w:tcPr>
            <w:tcW w:type="dxa" w:w="3312"/>
          </w:tcPr>
          <w:p>
            <w:r>
              <w:t>Critical</w:t>
            </w:r>
          </w:p>
        </w:tc>
        <w:tc>
          <w:tcPr>
            <w:tcW w:type="dxa" w:w="3312"/>
          </w:tcPr>
          <w:p>
            <w:r>
              <w:t>Supports a core banking/payment function or an outage could materially disrupt essential services.</w:t>
            </w:r>
          </w:p>
        </w:tc>
        <w:tc>
          <w:tcPr>
            <w:tcW w:type="dxa" w:w="3312"/>
          </w:tcPr>
          <w:p>
            <w:r>
              <w:t>High-tier reviews plus senior risk approval, tested exit/continuity plan, and enhanced monitoring.</w:t>
            </w:r>
          </w:p>
        </w:tc>
      </w:tr>
    </w:tbl>
    <w:p>
      <w:r>
        <w:t>A vendor is at least High when it processes customer identity data, government-ID images, authentication data, or other Restricted information, or when it can administer a production system. A high inherent tier cannot be reduced solely because a vendor has a security certificate.</w:t>
      </w:r>
    </w:p>
    <w:p>
      <w:pPr>
        <w:pStyle w:val="Heading1"/>
      </w:pPr>
      <w:r>
        <w:t>3. Minimum evidence for an IT vendor</w:t>
      </w:r>
    </w:p>
    <w:p>
      <w:pPr>
        <w:pStyle w:val="ListBullet"/>
      </w:pPr>
      <w:r>
        <w:t>Service description, architecture/data-flow diagram or equivalent, data categories, hosting regions, system access, and subcontractor list.</w:t>
      </w:r>
    </w:p>
    <w:p>
      <w:pPr>
        <w:pStyle w:val="ListBullet"/>
      </w:pPr>
      <w:r>
        <w:t>Completed security and privacy due-diligence questionnaire, including exceptions and evidence references.</w:t>
      </w:r>
    </w:p>
    <w:p>
      <w:pPr>
        <w:pStyle w:val="ListBullet"/>
      </w:pPr>
      <w:r>
        <w:t>Independent security assurance appropriate to the tier, such as a scoped SOC 2 Type II report or ISO 27001 certificate and Statement of Applicability. Review report scope, period, exceptions, and complementary user-entity controls.</w:t>
      </w:r>
    </w:p>
    <w:p>
      <w:pPr>
        <w:pStyle w:val="ListBullet"/>
      </w:pPr>
      <w:r>
        <w:t>Recent independent penetration-test executive summary and remediation status. Do not request unrestricted raw test details unless an approved reviewer needs them.</w:t>
      </w:r>
    </w:p>
    <w:p>
      <w:pPr>
        <w:pStyle w:val="ListBullet"/>
      </w:pPr>
      <w:r>
        <w:t>Business-continuity/disaster-recovery summary, latest exercise results, recovery targets, and security-incident response/notification process.</w:t>
      </w:r>
    </w:p>
    <w:p>
      <w:pPr>
        <w:pStyle w:val="ListBullet"/>
      </w:pPr>
      <w:r>
        <w:t>For personal or Restricted data: privacy terms, retention/deletion schedule, subprocessors, data locations, and permitted-use statement.</w:t>
      </w:r>
    </w:p>
    <w:p>
      <w:pPr>
        <w:pStyle w:val="Heading1"/>
      </w:pPr>
      <w:r>
        <w:t>4. Review and decision rules</w:t>
      </w:r>
    </w:p>
    <w:p>
      <w:pPr>
        <w:pStyle w:val="ListNumber"/>
      </w:pPr>
      <w:r>
        <w:t>The business owner documents the service purpose, criticality, data, system access, and intended launch date.</w:t>
      </w:r>
    </w:p>
    <w:p>
      <w:pPr>
        <w:pStyle w:val="ListNumber"/>
      </w:pPr>
      <w:r>
        <w:t>Technology Risk assigns an inherent tier before considering controls.</w:t>
      </w:r>
    </w:p>
    <w:p>
      <w:pPr>
        <w:pStyle w:val="ListNumber"/>
      </w:pPr>
      <w:r>
        <w:t>Control owners assess the evidence, record gaps with source references, and distinguish verified evidence from vendor statements.</w:t>
      </w:r>
    </w:p>
    <w:p>
      <w:pPr>
        <w:pStyle w:val="ListNumber"/>
      </w:pPr>
      <w:r>
        <w:t>A High or Critical vendor cannot go live with an unresolved material gap unless an authorized, time-limited risk exception is approved.</w:t>
      </w:r>
    </w:p>
    <w:p>
      <w:pPr>
        <w:pStyle w:val="ListNumber"/>
      </w:pPr>
      <w:r>
        <w:t>The final decision, conditions, owner, expiry date, and monitoring plan are recorded in the vendor case.</w:t>
      </w:r>
    </w:p>
    <w:p>
      <w:pPr>
        <w:pStyle w:val="Heading1"/>
      </w:pPr>
      <w:r>
        <w:t>5. Evidence quality</w:t>
      </w:r>
    </w:p>
    <w:p>
      <w:r>
        <w:t>A vendor questionnaire is a self-attestation, not independent assurance. An expired certificate, out-of-scope report, missing report, or unremediated finding must be identified as a gap rather than described as evidence of compliance. The reviewer must not infer that an unprovided control exists.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A332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235C4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315F4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235C4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