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F5B2E"/>
          <w:sz w:val="16"/>
        </w:rPr>
        <w:t>FICTIONAL DEMO DOCUMENT · NOT A REAL BANK OR VENDOR RECORD</w:t>
      </w:r>
    </w:p>
    <w:p>
      <w:pPr>
        <w:pStyle w:val="Title"/>
      </w:pPr>
      <w:r>
        <w:t>Third-Party Information Security and Data Handling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968"/>
          </w:tcPr>
          <w:p>
            <w:r>
              <w:t>SEC-STD-004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Owner / author</w:t>
            </w:r>
          </w:p>
        </w:tc>
        <w:tc>
          <w:tcPr>
            <w:tcW w:type="dxa" w:w="4968"/>
          </w:tcPr>
          <w:p>
            <w:r>
              <w:t>Acme Demo Bank Information Security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</w:tcPr>
          <w:p>
            <w:r>
              <w:t>Internal security standard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/ submitted</w:t>
            </w:r>
          </w:p>
        </w:tc>
        <w:tc>
          <w:tcPr>
            <w:tcW w:type="dxa" w:w="4968"/>
          </w:tcPr>
          <w:p>
            <w:r>
              <w:t>15 September 2026 (fictional demo date)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968"/>
          </w:tcPr>
          <w:p>
            <w:r>
              <w:t>Acme Demo Bank</w:t>
            </w:r>
          </w:p>
        </w:tc>
      </w:tr>
    </w:tbl>
    <w:p>
      <w:r>
        <w:t>Use only as synthetic portfolio-demo material. This document does not establish actual bank policy, regulatory compliance, or a real vendor certification.</w:t>
      </w:r>
    </w:p>
    <w:p>
      <w:pPr>
        <w:pStyle w:val="Heading1"/>
      </w:pPr>
      <w:r>
        <w:t>1. Data classification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Demo definition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Vendor handling</w:t>
            </w:r>
          </w:p>
        </w:tc>
      </w:tr>
      <w:tr>
        <w:tc>
          <w:tcPr>
            <w:tcW w:type="dxa" w:w="3312"/>
          </w:tcPr>
          <w:p>
            <w:r>
              <w:t>Public</w:t>
            </w:r>
          </w:p>
        </w:tc>
        <w:tc>
          <w:tcPr>
            <w:tcW w:type="dxa" w:w="3312"/>
          </w:tcPr>
          <w:p>
            <w:r>
              <w:t>Approved for public release.</w:t>
            </w:r>
          </w:p>
        </w:tc>
        <w:tc>
          <w:tcPr>
            <w:tcW w:type="dxa" w:w="3312"/>
          </w:tcPr>
          <w:p>
            <w:r>
              <w:t>No special bank restrictions beyond contract and integrity requirements.</w:t>
            </w:r>
          </w:p>
        </w:tc>
      </w:tr>
      <w:tr>
        <w:tc>
          <w:tcPr>
            <w:tcW w:type="dxa" w:w="3312"/>
          </w:tcPr>
          <w:p>
            <w:r>
              <w:t>Internal</w:t>
            </w:r>
          </w:p>
        </w:tc>
        <w:tc>
          <w:tcPr>
            <w:tcW w:type="dxa" w:w="3312"/>
          </w:tcPr>
          <w:p>
            <w:r>
              <w:t>Non-public operational information with limited impact if exposed.</w:t>
            </w:r>
          </w:p>
        </w:tc>
        <w:tc>
          <w:tcPr>
            <w:tcW w:type="dxa" w:w="3312"/>
          </w:tcPr>
          <w:p>
            <w:r>
              <w:t>Use approved access, secure transmission, and documented deletion.</w:t>
            </w:r>
          </w:p>
        </w:tc>
      </w:tr>
      <w:tr>
        <w:tc>
          <w:tcPr>
            <w:tcW w:type="dxa" w:w="3312"/>
          </w:tcPr>
          <w:p>
            <w:r>
              <w:t>Confidential</w:t>
            </w:r>
          </w:p>
        </w:tc>
        <w:tc>
          <w:tcPr>
            <w:tcW w:type="dxa" w:w="3312"/>
          </w:tcPr>
          <w:p>
            <w:r>
              <w:t>Sensitive business, employee, or customer information.</w:t>
            </w:r>
          </w:p>
        </w:tc>
        <w:tc>
          <w:tcPr>
            <w:tcW w:type="dxa" w:w="3312"/>
          </w:tcPr>
          <w:p>
            <w:r>
              <w:t>Need-to-know access, encryption, logging, and approved subprocessors.</w:t>
            </w:r>
          </w:p>
        </w:tc>
      </w:tr>
      <w:tr>
        <w:tc>
          <w:tcPr>
            <w:tcW w:type="dxa" w:w="3312"/>
          </w:tcPr>
          <w:p>
            <w:r>
              <w:t>Restricted</w:t>
            </w:r>
          </w:p>
        </w:tc>
        <w:tc>
          <w:tcPr>
            <w:tcW w:type="dxa" w:w="3312"/>
          </w:tcPr>
          <w:p>
            <w:r>
              <w:t>Customer identity documents, account-linked data, credentials, or highly sensitive information.</w:t>
            </w:r>
          </w:p>
        </w:tc>
        <w:tc>
          <w:tcPr>
            <w:tcW w:type="dxa" w:w="3312"/>
          </w:tcPr>
          <w:p>
            <w:r>
              <w:t>High-risk review, strict least privilege, strong encryption, MFA, monitoring, and approved data-use/retention terms.</w:t>
            </w:r>
          </w:p>
        </w:tc>
      </w:tr>
    </w:tbl>
    <w:p>
      <w:pPr>
        <w:pStyle w:val="Heading1"/>
      </w:pPr>
      <w:r>
        <w:t>2. Baseline controls for vendors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Acme Demo Bank requirement</w:t>
            </w:r>
          </w:p>
        </w:tc>
      </w:tr>
      <w:tr>
        <w:tc>
          <w:tcPr>
            <w:tcW w:type="dxa" w:w="4968"/>
          </w:tcPr>
          <w:p>
            <w:r>
              <w:t>Encryption</w:t>
            </w:r>
          </w:p>
        </w:tc>
        <w:tc>
          <w:tcPr>
            <w:tcW w:type="dxa" w:w="4968"/>
          </w:tcPr>
          <w:p>
            <w:r>
              <w:t>Protect bank data in transit using TLS 1.2 or stronger and at rest using an industry-accepted strong encryption method.</w:t>
            </w:r>
          </w:p>
        </w:tc>
      </w:tr>
      <w:tr>
        <w:tc>
          <w:tcPr>
            <w:tcW w:type="dxa" w:w="4968"/>
          </w:tcPr>
          <w:p>
            <w:r>
              <w:t>Identity and access</w:t>
            </w:r>
          </w:p>
        </w:tc>
        <w:tc>
          <w:tcPr>
            <w:tcW w:type="dxa" w:w="4968"/>
          </w:tcPr>
          <w:p>
            <w:r>
              <w:t>Require MFA for all workforce access to production or bank data; use unique accounts, least privilege, and time-limited privileged access. Shared administrator accounts are not permitted.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Keep security-relevant access and administrative logs for at least 365 days for High and Critical services, with protected access and review.</w:t>
            </w:r>
          </w:p>
        </w:tc>
      </w:tr>
      <w:tr>
        <w:tc>
          <w:tcPr>
            <w:tcW w:type="dxa" w:w="4968"/>
          </w:tcPr>
          <w:p>
            <w:r>
              <w:t>Vulnerability response</w:t>
            </w:r>
          </w:p>
        </w:tc>
        <w:tc>
          <w:tcPr>
            <w:tcW w:type="dxa" w:w="4968"/>
          </w:tcPr>
          <w:p>
            <w:r>
              <w:t>Fix Critical vulnerabilities within 72 hours or document compensating safeguards and an approved exception; fix High vulnerabilities within 15 calendar days.</w:t>
            </w:r>
          </w:p>
        </w:tc>
      </w:tr>
      <w:tr>
        <w:tc>
          <w:tcPr>
            <w:tcW w:type="dxa" w:w="4968"/>
          </w:tcPr>
          <w:p>
            <w:r>
              <w:t>Security testing</w:t>
            </w:r>
          </w:p>
        </w:tc>
        <w:tc>
          <w:tcPr>
            <w:tcW w:type="dxa" w:w="4968"/>
          </w:tcPr>
          <w:p>
            <w:r>
              <w:t>Complete an independent penetration test at least annually and track findings to closure. Material findings must be disclosed to the bank reviewer.</w:t>
            </w:r>
          </w:p>
        </w:tc>
      </w:tr>
      <w:tr>
        <w:tc>
          <w:tcPr>
            <w:tcW w:type="dxa" w:w="4968"/>
          </w:tcPr>
          <w:p>
            <w:r>
              <w:t>Incident notice</w:t>
            </w:r>
          </w:p>
        </w:tc>
        <w:tc>
          <w:tcPr>
            <w:tcW w:type="dxa" w:w="4968"/>
          </w:tcPr>
          <w:p>
            <w:r>
              <w:t>Notify the bank within 24 hours after becoming aware of a suspected or confirmed incident affecting bank data or the contracted service. Initial notice may be incomplete and updated as facts are confirmed.</w:t>
            </w:r>
          </w:p>
        </w:tc>
      </w:tr>
      <w:tr>
        <w:tc>
          <w:tcPr>
            <w:tcW w:type="dxa" w:w="4968"/>
          </w:tcPr>
          <w:p>
            <w:r>
              <w:t>Data use and AI</w:t>
            </w:r>
          </w:p>
        </w:tc>
        <w:tc>
          <w:tcPr>
            <w:tcW w:type="dxa" w:w="4968"/>
          </w:tcPr>
          <w:p>
            <w:r>
              <w:t>Do not use bank data, prompts, outputs, or files to train or improve a shared/general model. Any different use requires written bank approval before processing.</w:t>
            </w:r>
          </w:p>
        </w:tc>
      </w:tr>
      <w:tr>
        <w:tc>
          <w:tcPr>
            <w:tcW w:type="dxa" w:w="4968"/>
          </w:tcPr>
          <w:p>
            <w:r>
              <w:t>Subprocessors</w:t>
            </w:r>
          </w:p>
        </w:tc>
        <w:tc>
          <w:tcPr>
            <w:tcW w:type="dxa" w:w="4968"/>
          </w:tcPr>
          <w:p>
            <w:r>
              <w:t>Maintain a current subprocessor list, apply equivalent controls, and notify the bank at least 30 days before a material change, subject to contract approval rights.</w:t>
            </w:r>
          </w:p>
        </w:tc>
      </w:tr>
      <w:tr>
        <w:tc>
          <w:tcPr>
            <w:tcW w:type="dxa" w:w="4968"/>
          </w:tcPr>
          <w:p>
            <w:r>
              <w:t>Deletion and return</w:t>
            </w:r>
          </w:p>
        </w:tc>
        <w:tc>
          <w:tcPr>
            <w:tcW w:type="dxa" w:w="4968"/>
          </w:tcPr>
          <w:p>
            <w:r>
              <w:t>Delete active bank data within 30 days after contract end or bank request; backups may age out within 90 days if isolated, protected, and not restored except for recovery.</w:t>
            </w:r>
          </w:p>
        </w:tc>
      </w:tr>
    </w:tbl>
    <w:p>
      <w:pPr>
        <w:pStyle w:val="Heading1"/>
      </w:pPr>
      <w:r>
        <w:t>3. Evidence and exceptions</w:t>
      </w:r>
    </w:p>
    <w:p>
      <w:r>
        <w:t>Vendor claims must be tied to evidence, scope, and date. A gap is not closed by a general policy statement. A compensating control must reduce the specific risk, have a named owner, and be verified. High-risk exceptions require written approval and a maximum initial duration of 90 days.</w:t>
      </w:r>
    </w:p>
    <w:p>
      <w:r>
        <w:t>This fictional baseline is intentionally a demo control set; it is not a statement of any real bank's requirements or a substitute for applicable law, regulation, or approved institutional policy.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C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5C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