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9F5B2E"/>
          <w:sz w:val="16"/>
        </w:rPr>
        <w:t>FICTIONAL DEMO DOCUMENT · NOT A REAL BANK OR VENDOR RECORD</w:t>
      </w:r>
    </w:p>
    <w:p>
      <w:pPr>
        <w:pStyle w:val="Title"/>
      </w:pPr>
      <w:r>
        <w:t>Third-Party Resilience, Recovery, and Incident Requirements</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rPr>
                <w:b/>
              </w:rPr>
              <w:t>Document code</w:t>
            </w:r>
          </w:p>
        </w:tc>
        <w:tc>
          <w:tcPr>
            <w:tcW w:type="dxa" w:w="4968"/>
          </w:tcPr>
          <w:p>
            <w:r>
              <w:t>BCM-STD-006</w:t>
            </w:r>
          </w:p>
        </w:tc>
      </w:tr>
      <w:tr>
        <w:tc>
          <w:tcPr>
            <w:tcW w:type="dxa" w:w="4968"/>
          </w:tcPr>
          <w:p>
            <w:r>
              <w:rPr>
                <w:b/>
              </w:rPr>
              <w:t>Version</w:t>
            </w:r>
          </w:p>
        </w:tc>
        <w:tc>
          <w:tcPr>
            <w:tcW w:type="dxa" w:w="4968"/>
          </w:tcPr>
          <w:p>
            <w:r>
              <w:t>1.0</w:t>
            </w:r>
          </w:p>
        </w:tc>
      </w:tr>
      <w:tr>
        <w:tc>
          <w:tcPr>
            <w:tcW w:type="dxa" w:w="4968"/>
          </w:tcPr>
          <w:p>
            <w:r>
              <w:rPr>
                <w:b/>
              </w:rPr>
              <w:t>Owner / author</w:t>
            </w:r>
          </w:p>
        </w:tc>
        <w:tc>
          <w:tcPr>
            <w:tcW w:type="dxa" w:w="4968"/>
          </w:tcPr>
          <w:p>
            <w:r>
              <w:t>Acme Demo Bank Business Continuity and Technology Risk</w:t>
            </w:r>
          </w:p>
        </w:tc>
      </w:tr>
      <w:tr>
        <w:tc>
          <w:tcPr>
            <w:tcW w:type="dxa" w:w="4968"/>
          </w:tcPr>
          <w:p>
            <w:r>
              <w:rPr>
                <w:b/>
              </w:rPr>
              <w:t>Document type</w:t>
            </w:r>
          </w:p>
        </w:tc>
        <w:tc>
          <w:tcPr>
            <w:tcW w:type="dxa" w:w="4968"/>
          </w:tcPr>
          <w:p>
            <w:r>
              <w:t>Internal resilience standard</w:t>
            </w:r>
          </w:p>
        </w:tc>
      </w:tr>
      <w:tr>
        <w:tc>
          <w:tcPr>
            <w:tcW w:type="dxa" w:w="4968"/>
          </w:tcPr>
          <w:p>
            <w:r>
              <w:rPr>
                <w:b/>
              </w:rPr>
              <w:t>Effective / submitted</w:t>
            </w:r>
          </w:p>
        </w:tc>
        <w:tc>
          <w:tcPr>
            <w:tcW w:type="dxa" w:w="4968"/>
          </w:tcPr>
          <w:p>
            <w:r>
              <w:t>15 September 2026 (fictional demo date)</w:t>
            </w:r>
          </w:p>
        </w:tc>
      </w:tr>
      <w:tr>
        <w:tc>
          <w:tcPr>
            <w:tcW w:type="dxa" w:w="4968"/>
          </w:tcPr>
          <w:p>
            <w:r>
              <w:rPr>
                <w:b/>
              </w:rPr>
              <w:t>Organization</w:t>
            </w:r>
          </w:p>
        </w:tc>
        <w:tc>
          <w:tcPr>
            <w:tcW w:type="dxa" w:w="4968"/>
          </w:tcPr>
          <w:p>
            <w:r>
              <w:t>Acme Demo Bank</w:t>
            </w:r>
          </w:p>
        </w:tc>
      </w:tr>
    </w:tbl>
    <w:p>
      <w:r>
        <w:t>Use only as synthetic portfolio-demo material. This document does not establish actual bank policy, regulatory compliance, or a real vendor certification.</w:t>
      </w:r>
    </w:p>
    <w:p>
      <w:pPr>
        <w:pStyle w:val="Heading1"/>
      </w:pPr>
      <w:r>
        <w:t>1. Recovery objectives</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tcPr>
          <w:p>
            <w:r>
              <w:rPr>
                <w:b/>
              </w:rPr>
              <w:t>Service tier</w:t>
            </w:r>
          </w:p>
        </w:tc>
        <w:tc>
          <w:tcPr>
            <w:tcW w:type="dxa" w:w="2484"/>
          </w:tcPr>
          <w:p>
            <w:r>
              <w:rPr>
                <w:b/>
              </w:rPr>
              <w:t>Maximum recovery time (RTO)</w:t>
            </w:r>
          </w:p>
        </w:tc>
        <w:tc>
          <w:tcPr>
            <w:tcW w:type="dxa" w:w="2484"/>
          </w:tcPr>
          <w:p>
            <w:r>
              <w:rPr>
                <w:b/>
              </w:rPr>
              <w:t>Maximum data loss window (RPO)</w:t>
            </w:r>
          </w:p>
        </w:tc>
        <w:tc>
          <w:tcPr>
            <w:tcW w:type="dxa" w:w="2484"/>
          </w:tcPr>
          <w:p>
            <w:r>
              <w:rPr>
                <w:b/>
              </w:rPr>
              <w:t>Exercise</w:t>
            </w:r>
          </w:p>
        </w:tc>
      </w:tr>
      <w:tr>
        <w:tc>
          <w:tcPr>
            <w:tcW w:type="dxa" w:w="2484"/>
          </w:tcPr>
          <w:p>
            <w:r>
              <w:t>Moderate</w:t>
            </w:r>
          </w:p>
        </w:tc>
        <w:tc>
          <w:tcPr>
            <w:tcW w:type="dxa" w:w="2484"/>
          </w:tcPr>
          <w:p>
            <w:r>
              <w:t>24 hours</w:t>
            </w:r>
          </w:p>
        </w:tc>
        <w:tc>
          <w:tcPr>
            <w:tcW w:type="dxa" w:w="2484"/>
          </w:tcPr>
          <w:p>
            <w:r>
              <w:t>8 hours</w:t>
            </w:r>
          </w:p>
        </w:tc>
        <w:tc>
          <w:tcPr>
            <w:tcW w:type="dxa" w:w="2484"/>
          </w:tcPr>
          <w:p>
            <w:r>
              <w:t>Documented recovery test at least every 24 months.</w:t>
            </w:r>
          </w:p>
        </w:tc>
      </w:tr>
      <w:tr>
        <w:tc>
          <w:tcPr>
            <w:tcW w:type="dxa" w:w="2484"/>
          </w:tcPr>
          <w:p>
            <w:r>
              <w:t>High</w:t>
            </w:r>
          </w:p>
        </w:tc>
        <w:tc>
          <w:tcPr>
            <w:tcW w:type="dxa" w:w="2484"/>
          </w:tcPr>
          <w:p>
            <w:r>
              <w:t>4 hours</w:t>
            </w:r>
          </w:p>
        </w:tc>
        <w:tc>
          <w:tcPr>
            <w:tcW w:type="dxa" w:w="2484"/>
          </w:tcPr>
          <w:p>
            <w:r>
              <w:t>1 hour</w:t>
            </w:r>
          </w:p>
        </w:tc>
        <w:tc>
          <w:tcPr>
            <w:tcW w:type="dxa" w:w="2484"/>
          </w:tcPr>
          <w:p>
            <w:r>
              <w:t>End-to-end recovery exercise at least annually; retain results and remediation.</w:t>
            </w:r>
          </w:p>
        </w:tc>
      </w:tr>
      <w:tr>
        <w:tc>
          <w:tcPr>
            <w:tcW w:type="dxa" w:w="2484"/>
          </w:tcPr>
          <w:p>
            <w:r>
              <w:t>Critical</w:t>
            </w:r>
          </w:p>
        </w:tc>
        <w:tc>
          <w:tcPr>
            <w:tcW w:type="dxa" w:w="2484"/>
          </w:tcPr>
          <w:p>
            <w:r>
              <w:t>1 hour</w:t>
            </w:r>
          </w:p>
        </w:tc>
        <w:tc>
          <w:tcPr>
            <w:tcW w:type="dxa" w:w="2484"/>
          </w:tcPr>
          <w:p>
            <w:r>
              <w:t>15 minutes</w:t>
            </w:r>
          </w:p>
        </w:tc>
        <w:tc>
          <w:tcPr>
            <w:tcW w:type="dxa" w:w="2484"/>
          </w:tcPr>
          <w:p>
            <w:r>
              <w:t>Annual end-to-end exercise plus a documented failover/exit test.</w:t>
            </w:r>
          </w:p>
        </w:tc>
      </w:tr>
    </w:tbl>
    <w:p>
      <w:r>
        <w:t>RTO is the target time to restore the service. RPO is the maximum acceptable period of data that may need to be recreated after recovery. Vendor objectives must support the bank's service-level needs, not merely the vendor's standard tier.</w:t>
      </w:r>
    </w:p>
    <w:p>
      <w:pPr>
        <w:pStyle w:val="Heading1"/>
      </w:pPr>
      <w:r>
        <w:t>2. Incident response</w:t>
      </w:r>
    </w:p>
    <w:p>
      <w:pPr>
        <w:pStyle w:val="ListBullet"/>
      </w:pPr>
      <w:r>
        <w:t>The vendor must maintain a named 24/7 security contact for High and Critical services.</w:t>
      </w:r>
    </w:p>
    <w:p>
      <w:pPr>
        <w:pStyle w:val="ListBullet"/>
      </w:pPr>
      <w:r>
        <w:t>Initial notice is due within 24 hours after awareness of an incident affecting bank data or the contracted service; the vendor must provide updates as facts are confirmed.</w:t>
      </w:r>
    </w:p>
    <w:p>
      <w:pPr>
        <w:pStyle w:val="ListBullet"/>
      </w:pPr>
      <w:r>
        <w:t>The notice must identify known impact, affected service/data, containment steps, contact, and next update time. Root-cause details may follow when established.</w:t>
      </w:r>
    </w:p>
    <w:p>
      <w:pPr>
        <w:pStyle w:val="ListBullet"/>
      </w:pPr>
      <w:r>
        <w:t>The vendor must preserve relevant evidence, cooperate with the bank, and not make public statements naming the bank without authorization except where law requires.</w:t>
      </w:r>
    </w:p>
    <w:p>
      <w:pPr>
        <w:pStyle w:val="Heading1"/>
      </w:pPr>
      <w:r>
        <w:t>3. Continuity evidence</w:t>
      </w:r>
    </w:p>
    <w:p>
      <w:pPr>
        <w:pStyle w:val="ListBullet"/>
      </w:pPr>
      <w:r>
        <w:t>Provide the most recent recovery exercise date, scope, achieved RTO/RPO, failures, and corrective-action owners/dates.</w:t>
      </w:r>
    </w:p>
    <w:p>
      <w:pPr>
        <w:pStyle w:val="ListBullet"/>
      </w:pPr>
      <w:r>
        <w:t>Identify single points of failure, key hosting/subprocessor dependencies, backup protection, and manual workarounds.</w:t>
      </w:r>
    </w:p>
    <w:p>
      <w:pPr>
        <w:pStyle w:val="ListBullet"/>
      </w:pPr>
      <w:r>
        <w:t>A tabletop exercise alone does not demonstrate technical recovery of a production service; describe what was actually restored or failed over.</w:t>
      </w:r>
    </w:p>
    <w:p>
      <w:pPr>
        <w:pStyle w:val="Heading1"/>
      </w:pPr>
      <w:r>
        <w:t>4. Exceptions</w:t>
      </w:r>
    </w:p>
    <w:p>
      <w:r>
        <w:t>A vendor exception to a recovery target or notice period requires service-owner justification, Business Continuity and Technology Risk review, compensating measures, an approved contract position, a named owner, and an expiry date. Critical services require senior risk approval.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A33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35C4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15F4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35C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