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F5B2E"/>
          <w:sz w:val="16"/>
        </w:rPr>
        <w:t>FICTIONAL DEMO DOCUMENT · NOT A REAL BANK OR VENDOR RECORD</w:t>
      </w:r>
    </w:p>
    <w:p>
      <w:pPr>
        <w:pStyle w:val="Title"/>
      </w:pPr>
      <w:r>
        <w:t>Vendor Security Assurance and Testing Summary — Northstar Demo Systems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968"/>
          </w:tcPr>
          <w:p>
            <w:r>
              <w:t>VND-NSTAR-SEC-002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Owner / author</w:t>
            </w:r>
          </w:p>
        </w:tc>
        <w:tc>
          <w:tcPr>
            <w:tcW w:type="dxa" w:w="4968"/>
          </w:tcPr>
          <w:p>
            <w:r>
              <w:t>Northstar Demo Systems LLC (fictional respondent)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968"/>
          </w:tcPr>
          <w:p>
            <w:r>
              <w:t>Vendor self-attestation and evidence index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/ submitted</w:t>
            </w:r>
          </w:p>
        </w:tc>
        <w:tc>
          <w:tcPr>
            <w:tcW w:type="dxa" w:w="4968"/>
          </w:tcPr>
          <w:p>
            <w:r>
              <w:t>15 September 2026 (fictional demo date)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968"/>
          </w:tcPr>
          <w:p>
            <w:r>
              <w:t>Northstar Demo Systems LLC</w:t>
            </w:r>
          </w:p>
        </w:tc>
      </w:tr>
    </w:tbl>
    <w:p>
      <w:r>
        <w:t>Use only as synthetic portfolio-demo material. This document does not establish actual bank policy, regulatory compliance, or a real vendor certification.</w:t>
      </w:r>
    </w:p>
    <w:p>
      <w:pPr>
        <w:pStyle w:val="Heading1"/>
      </w:pPr>
      <w:r>
        <w:t>Important status</w:t>
      </w:r>
    </w:p>
    <w:p>
      <w:r>
        <w:t>This file is a fictional vendor-prepared summary for a demo. It is NOT a SOC 2 report, ISO 27001 certificate, penetration-test report, or independent auditor opinion. No real assurance report is included.</w:t>
      </w:r>
    </w:p>
    <w:p>
      <w:pPr>
        <w:pStyle w:val="Heading1"/>
      </w:pPr>
      <w:r>
        <w:t>1. Assurance documents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Evidence item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Status stated by vendor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Reviewer note</w:t>
            </w:r>
          </w:p>
        </w:tc>
      </w:tr>
      <w:tr>
        <w:tc>
          <w:tcPr>
            <w:tcW w:type="dxa" w:w="3312"/>
          </w:tcPr>
          <w:p>
            <w:r>
              <w:t>SOC 2 Type II</w:t>
            </w:r>
          </w:p>
        </w:tc>
        <w:tc>
          <w:tcPr>
            <w:tcW w:type="dxa" w:w="3312"/>
          </w:tcPr>
          <w:p>
            <w:r>
              <w:t>Audit fieldwork is in progress; report not yet issued or provided.</w:t>
            </w:r>
          </w:p>
        </w:tc>
        <w:tc>
          <w:tcPr>
            <w:tcW w:type="dxa" w:w="3312"/>
          </w:tcPr>
          <w:p>
            <w:r>
              <w:t>Independent assurance is missing for this review. Do not mark SOC 2 as passed.</w:t>
            </w:r>
          </w:p>
        </w:tc>
      </w:tr>
      <w:tr>
        <w:tc>
          <w:tcPr>
            <w:tcW w:type="dxa" w:w="3312"/>
          </w:tcPr>
          <w:p>
            <w:r>
              <w:t>ISO 27001</w:t>
            </w:r>
          </w:p>
        </w:tc>
        <w:tc>
          <w:tcPr>
            <w:tcW w:type="dxa" w:w="3312"/>
          </w:tcPr>
          <w:p>
            <w:r>
              <w:t>No certificate provided.</w:t>
            </w:r>
          </w:p>
        </w:tc>
        <w:tc>
          <w:tcPr>
            <w:tcW w:type="dxa" w:w="3312"/>
          </w:tcPr>
          <w:p>
            <w:r>
              <w:t>No certification claim is made in this packet.</w:t>
            </w:r>
          </w:p>
        </w:tc>
      </w:tr>
      <w:tr>
        <w:tc>
          <w:tcPr>
            <w:tcW w:type="dxa" w:w="3312"/>
          </w:tcPr>
          <w:p>
            <w:r>
              <w:t>Penetration test</w:t>
            </w:r>
          </w:p>
        </w:tc>
        <w:tc>
          <w:tcPr>
            <w:tcW w:type="dxa" w:w="3312"/>
          </w:tcPr>
          <w:p>
            <w:r>
              <w:t>External test dated 30 June 2025; executive summary only; one Medium finding remains open with target closure 31 October 2026.</w:t>
            </w:r>
          </w:p>
        </w:tc>
        <w:tc>
          <w:tcPr>
            <w:tcW w:type="dxa" w:w="3312"/>
          </w:tcPr>
          <w:p>
            <w:r>
              <w:t>The assessment is over 12 months old at the fictional review date. Obtain an updated test and closure evidence.</w:t>
            </w:r>
          </w:p>
        </w:tc>
      </w:tr>
    </w:tbl>
    <w:p>
      <w:pPr>
        <w:pStyle w:val="Heading1"/>
      </w:pPr>
      <w:r>
        <w:t>2. Selected control responses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Fictional vendor response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Evidence status</w:t>
            </w:r>
          </w:p>
        </w:tc>
      </w:tr>
      <w:tr>
        <w:tc>
          <w:tcPr>
            <w:tcW w:type="dxa" w:w="3312"/>
          </w:tcPr>
          <w:p>
            <w:r>
              <w:t>Privileged MFA</w:t>
            </w:r>
          </w:p>
        </w:tc>
        <w:tc>
          <w:tcPr>
            <w:tcW w:type="dxa" w:w="3312"/>
          </w:tcPr>
          <w:p>
            <w:r>
              <w:t>SSO and MFA are enforced for workforce users. Two emergency local administrator accounts are excluded from MFA; access alerts are reviewed after use.</w:t>
            </w:r>
          </w:p>
        </w:tc>
        <w:tc>
          <w:tcPr>
            <w:tcW w:type="dxa" w:w="3312"/>
          </w:tcPr>
          <w:p>
            <w:r>
              <w:t>Exception described, but no compensating-control test supplied.</w:t>
            </w:r>
          </w:p>
        </w:tc>
      </w:tr>
      <w:tr>
        <w:tc>
          <w:tcPr>
            <w:tcW w:type="dxa" w:w="3312"/>
          </w:tcPr>
          <w:p>
            <w:r>
              <w:t>Access review</w:t>
            </w:r>
          </w:p>
        </w:tc>
        <w:tc>
          <w:tcPr>
            <w:tcW w:type="dxa" w:w="3312"/>
          </w:tcPr>
          <w:p>
            <w:r>
              <w:t>Managers review production access twice per year.</w:t>
            </w:r>
          </w:p>
        </w:tc>
        <w:tc>
          <w:tcPr>
            <w:tcW w:type="dxa" w:w="3312"/>
          </w:tcPr>
          <w:p>
            <w:r>
              <w:t>No completed review sample attached.</w:t>
            </w:r>
          </w:p>
        </w:tc>
      </w:tr>
      <w:tr>
        <w:tc>
          <w:tcPr>
            <w:tcW w:type="dxa" w:w="3312"/>
          </w:tcPr>
          <w:p>
            <w:r>
              <w:t>Security logs</w:t>
            </w:r>
          </w:p>
        </w:tc>
        <w:tc>
          <w:tcPr>
            <w:tcW w:type="dxa" w:w="3312"/>
          </w:tcPr>
          <w:p>
            <w:r>
              <w:t>Administrative and authentication logs are retained for 180 days.</w:t>
            </w:r>
          </w:p>
        </w:tc>
        <w:tc>
          <w:tcPr>
            <w:tcW w:type="dxa" w:w="3312"/>
          </w:tcPr>
          <w:p>
            <w:r>
              <w:t>Vendor statement only; bank standard requires 365 days for High service.</w:t>
            </w:r>
          </w:p>
        </w:tc>
      </w:tr>
      <w:tr>
        <w:tc>
          <w:tcPr>
            <w:tcW w:type="dxa" w:w="3312"/>
          </w:tcPr>
          <w:p>
            <w:r>
              <w:t>Critical vulnerability remediation</w:t>
            </w:r>
          </w:p>
        </w:tc>
        <w:tc>
          <w:tcPr>
            <w:tcW w:type="dxa" w:w="3312"/>
          </w:tcPr>
          <w:p>
            <w:r>
              <w:t>Target is seven calendar days after validation; emergency fixes may be deployed sooner.</w:t>
            </w:r>
          </w:p>
        </w:tc>
        <w:tc>
          <w:tcPr>
            <w:tcW w:type="dxa" w:w="3312"/>
          </w:tcPr>
          <w:p>
            <w:r>
              <w:t>Bank standard requires 72 hours or an approved exception.</w:t>
            </w:r>
          </w:p>
        </w:tc>
      </w:tr>
      <w:tr>
        <w:tc>
          <w:tcPr>
            <w:tcW w:type="dxa" w:w="3312"/>
          </w:tcPr>
          <w:p>
            <w:r>
              <w:t>Encryption</w:t>
            </w:r>
          </w:p>
        </w:tc>
        <w:tc>
          <w:tcPr>
            <w:tcW w:type="dxa" w:w="3312"/>
          </w:tcPr>
          <w:p>
            <w:r>
              <w:t>Vendor states TLS 1.2 or stronger in transit and encryption at rest for production storage.</w:t>
            </w:r>
          </w:p>
        </w:tc>
        <w:tc>
          <w:tcPr>
            <w:tcW w:type="dxa" w:w="3312"/>
          </w:tcPr>
          <w:p>
            <w:r>
              <w:t>Configuration evidence not attached.</w:t>
            </w:r>
          </w:p>
        </w:tc>
      </w:tr>
      <w:tr>
        <w:tc>
          <w:tcPr>
            <w:tcW w:type="dxa" w:w="3312"/>
          </w:tcPr>
          <w:p>
            <w:r>
              <w:t>AI training use</w:t>
            </w:r>
          </w:p>
        </w:tc>
        <w:tc>
          <w:tcPr>
            <w:tcW w:type="dxa" w:w="3312"/>
          </w:tcPr>
          <w:p>
            <w:r>
              <w:t>Vendor says customer content is not used to train a shared model.</w:t>
            </w:r>
          </w:p>
        </w:tc>
        <w:tc>
          <w:tcPr>
            <w:tcW w:type="dxa" w:w="3312"/>
          </w:tcPr>
          <w:p>
            <w:r>
              <w:t>Contractual confirmation and Lantern OCR retention terms not attached.</w:t>
            </w:r>
          </w:p>
        </w:tc>
      </w:tr>
    </w:tbl>
    <w:p>
      <w:pPr>
        <w:pStyle w:val="Heading1"/>
      </w:pPr>
      <w:r>
        <w:t>3. Open items acknowledged by vendor</w:t>
      </w:r>
    </w:p>
    <w:p>
      <w:pPr>
        <w:pStyle w:val="ListBullet"/>
      </w:pPr>
      <w:r>
        <w:t>Provide the independent SOC 2 Type II report when issued, including scope, period, exceptions, and complementary user-entity controls.</w:t>
      </w:r>
    </w:p>
    <w:p>
      <w:pPr>
        <w:pStyle w:val="ListBullet"/>
      </w:pPr>
      <w:r>
        <w:t>Provide a current independent penetration-test executive summary and remediation evidence for the open Medium finding.</w:t>
      </w:r>
    </w:p>
    <w:p>
      <w:pPr>
        <w:pStyle w:val="ListBullet"/>
      </w:pPr>
      <w:r>
        <w:t>Provide evidence for emergency-account MFA compensating controls and the latest production-access review.</w:t>
      </w:r>
    </w:p>
    <w:p>
      <w:pPr>
        <w:pStyle w:val="ListBullet"/>
      </w:pPr>
      <w:r>
        <w:t>Confirm the 24-hour incident-notice term, 365-day log availability, 72-hour critical patch path, AI data-use restriction, and 30-day active-data deletion in contract or approved exception documents.</w:t>
      </w:r>
    </w:p>
    <w:p>
      <w:pPr>
        <w:pStyle w:val="Heading1"/>
      </w:pPr>
      <w:r>
        <w:t>4. Reviewer caution</w:t>
      </w:r>
    </w:p>
    <w:p>
      <w:r>
        <w:t>This summary is self-reported and synthetic. It must not be described as an audit report or used to claim real-world certification.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5C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F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5C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