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F5B2E"/>
          <w:sz w:val="16"/>
        </w:rPr>
        <w:t>FICTIONAL DEMO DOCUMENT · NOT A REAL BANK OR VENDOR RECORD</w:t>
      </w:r>
    </w:p>
    <w:p>
      <w:pPr>
        <w:pStyle w:val="Title"/>
      </w:pPr>
      <w:r>
        <w:t>Business Continuity and Incident Response Summary — Northstar Demo Systems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968"/>
          </w:tcPr>
          <w:p>
            <w:r>
              <w:t>VND-NSTAR-BCM-003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Owner / author</w:t>
            </w:r>
          </w:p>
        </w:tc>
        <w:tc>
          <w:tcPr>
            <w:tcW w:type="dxa" w:w="4968"/>
          </w:tcPr>
          <w:p>
            <w:r>
              <w:t>Northstar Demo Systems LLC (fictional respondent)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968"/>
          </w:tcPr>
          <w:p>
            <w:r>
              <w:t>Vendor resilience questionnaire response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Effective / submitted</w:t>
            </w:r>
          </w:p>
        </w:tc>
        <w:tc>
          <w:tcPr>
            <w:tcW w:type="dxa" w:w="4968"/>
          </w:tcPr>
          <w:p>
            <w:r>
              <w:t>15 September 2026 (fictional demo date)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968"/>
          </w:tcPr>
          <w:p>
            <w:r>
              <w:t>Northstar Demo Systems LLC</w:t>
            </w:r>
          </w:p>
        </w:tc>
      </w:tr>
    </w:tbl>
    <w:p>
      <w:r>
        <w:t>Use only as synthetic portfolio-demo material. This document does not establish actual bank policy, regulatory compliance, or a real vendor certification.</w:t>
      </w:r>
    </w:p>
    <w:p>
      <w:pPr>
        <w:pStyle w:val="Heading1"/>
      </w:pPr>
      <w:r>
        <w:t>1. Recovery objectives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Vendor-stated target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Evidence supplied</w:t>
            </w:r>
          </w:p>
        </w:tc>
      </w:tr>
      <w:tr>
        <w:tc>
          <w:tcPr>
            <w:tcW w:type="dxa" w:w="3312"/>
          </w:tcPr>
          <w:p>
            <w:r>
              <w:t>Recovery time objective (RTO)</w:t>
            </w:r>
          </w:p>
        </w:tc>
        <w:tc>
          <w:tcPr>
            <w:tcW w:type="dxa" w:w="3312"/>
          </w:tcPr>
          <w:p>
            <w:r>
              <w:t>8 hours for Northstar Verify.</w:t>
            </w:r>
          </w:p>
        </w:tc>
        <w:tc>
          <w:tcPr>
            <w:tcW w:type="dxa" w:w="3312"/>
          </w:tcPr>
          <w:p>
            <w:r>
              <w:t>Target stated; no service-specific bank workload mapping supplied.</w:t>
            </w:r>
          </w:p>
        </w:tc>
      </w:tr>
      <w:tr>
        <w:tc>
          <w:tcPr>
            <w:tcW w:type="dxa" w:w="3312"/>
          </w:tcPr>
          <w:p>
            <w:r>
              <w:t>Recovery point objective (RPO)</w:t>
            </w:r>
          </w:p>
        </w:tc>
        <w:tc>
          <w:tcPr>
            <w:tcW w:type="dxa" w:w="3312"/>
          </w:tcPr>
          <w:p>
            <w:r>
              <w:t>4 hours for applicant case data.</w:t>
            </w:r>
          </w:p>
        </w:tc>
        <w:tc>
          <w:tcPr>
            <w:tcW w:type="dxa" w:w="3312"/>
          </w:tcPr>
          <w:p>
            <w:r>
              <w:t>Target stated; restoration sample not supplied.</w:t>
            </w:r>
          </w:p>
        </w:tc>
      </w:tr>
      <w:tr>
        <w:tc>
          <w:tcPr>
            <w:tcW w:type="dxa" w:w="3312"/>
          </w:tcPr>
          <w:p>
            <w:r>
              <w:t>Last recovery exercise</w:t>
            </w:r>
          </w:p>
        </w:tc>
        <w:tc>
          <w:tcPr>
            <w:tcW w:type="dxa" w:w="3312"/>
          </w:tcPr>
          <w:p>
            <w:r>
              <w:t>12 August 2025; tabletop and partial failover.</w:t>
            </w:r>
          </w:p>
        </w:tc>
        <w:tc>
          <w:tcPr>
            <w:tcW w:type="dxa" w:w="3312"/>
          </w:tcPr>
          <w:p>
            <w:r>
              <w:t>Summary only. Full end-to-end restoration was not demonstrated.</w:t>
            </w:r>
          </w:p>
        </w:tc>
      </w:tr>
      <w:tr>
        <w:tc>
          <w:tcPr>
            <w:tcW w:type="dxa" w:w="3312"/>
          </w:tcPr>
          <w:p>
            <w:r>
              <w:t>Exercise result</w:t>
            </w:r>
          </w:p>
        </w:tc>
        <w:tc>
          <w:tcPr>
            <w:tcW w:type="dxa" w:w="3312"/>
          </w:tcPr>
          <w:p>
            <w:r>
              <w:t>A DNS cutover issue delayed restoration; corrective work is marked in progress.</w:t>
            </w:r>
          </w:p>
        </w:tc>
        <w:tc>
          <w:tcPr>
            <w:tcW w:type="dxa" w:w="3312"/>
          </w:tcPr>
          <w:p>
            <w:r>
              <w:t>No closure evidence or retest date supplied.</w:t>
            </w:r>
          </w:p>
        </w:tc>
      </w:tr>
    </w:tbl>
    <w:p>
      <w:pPr>
        <w:pStyle w:val="Heading1"/>
      </w:pPr>
      <w:r>
        <w:t>2. Dependencies and continuity</w:t>
      </w:r>
    </w:p>
    <w:p>
      <w:pPr>
        <w:pStyle w:val="ListBullet"/>
      </w:pPr>
      <w:r>
        <w:t>The service depends on Nimbus Harbor Cloud LLC for hosting and Lantern OCR Services LLC for document extraction.</w:t>
      </w:r>
    </w:p>
    <w:p>
      <w:pPr>
        <w:pStyle w:val="ListBullet"/>
      </w:pPr>
      <w:r>
        <w:t>The vendor has not supplied a recovery test for loss of the OCR subprocessor or the primary cloud region.</w:t>
      </w:r>
    </w:p>
    <w:p>
      <w:pPr>
        <w:pStyle w:val="ListBullet"/>
      </w:pPr>
      <w:r>
        <w:t>A manual review queue is available for limited traffic, but staffing capacity and maximum duration are not specified.</w:t>
      </w:r>
    </w:p>
    <w:p>
      <w:pPr>
        <w:pStyle w:val="ListBullet"/>
      </w:pPr>
      <w:r>
        <w:t>Backups are encrypted according to the vendor statement; backup restoration evidence was not attached.</w:t>
      </w:r>
    </w:p>
    <w:p>
      <w:pPr>
        <w:pStyle w:val="Heading1"/>
      </w:pPr>
      <w:r>
        <w:t>3. Security-incident response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968"/>
          </w:tcPr>
          <w:p>
            <w:r>
              <w:rPr>
                <w:b/>
              </w:rPr>
              <w:t>Fictional vendor response</w:t>
            </w:r>
          </w:p>
        </w:tc>
      </w:tr>
      <w:tr>
        <w:tc>
          <w:tcPr>
            <w:tcW w:type="dxa" w:w="4968"/>
          </w:tcPr>
          <w:p>
            <w:r>
              <w:t>Customer notification</w:t>
            </w:r>
          </w:p>
        </w:tc>
        <w:tc>
          <w:tcPr>
            <w:tcW w:type="dxa" w:w="4968"/>
          </w:tcPr>
          <w:p>
            <w:r>
              <w:t>Contract template permits notice within 72 hours after confirming an incident affecting customer data.</w:t>
            </w:r>
          </w:p>
        </w:tc>
      </w:tr>
      <w:tr>
        <w:tc>
          <w:tcPr>
            <w:tcW w:type="dxa" w:w="4968"/>
          </w:tcPr>
          <w:p>
            <w:r>
              <w:t>24/7 contact</w:t>
            </w:r>
          </w:p>
        </w:tc>
        <w:tc>
          <w:tcPr>
            <w:tcW w:type="dxa" w:w="4968"/>
          </w:tcPr>
          <w:p>
            <w:r>
              <w:t>A security mailbox is monitored continuously; a named escalation roster was not provided.</w:t>
            </w:r>
          </w:p>
        </w:tc>
      </w:tr>
      <w:tr>
        <w:tc>
          <w:tcPr>
            <w:tcW w:type="dxa" w:w="4968"/>
          </w:tcPr>
          <w:p>
            <w:r>
              <w:t>Initial notice content</w:t>
            </w:r>
          </w:p>
        </w:tc>
        <w:tc>
          <w:tcPr>
            <w:tcW w:type="dxa" w:w="4968"/>
          </w:tcPr>
          <w:p>
            <w:r>
              <w:t>The vendor expects to provide known affected services and containment status; the initial template was not attached.</w:t>
            </w:r>
          </w:p>
        </w:tc>
      </w:tr>
      <w:tr>
        <w:tc>
          <w:tcPr>
            <w:tcW w:type="dxa" w:w="4968"/>
          </w:tcPr>
          <w:p>
            <w:r>
              <w:t>Customer cooperation</w:t>
            </w:r>
          </w:p>
        </w:tc>
        <w:tc>
          <w:tcPr>
            <w:tcW w:type="dxa" w:w="4968"/>
          </w:tcPr>
          <w:p>
            <w:r>
              <w:t>The vendor states it will investigate and provide updates; contractual evidence and forensic-support scope were not supplied.</w:t>
            </w:r>
          </w:p>
        </w:tc>
      </w:tr>
    </w:tbl>
    <w:p>
      <w:pPr>
        <w:pStyle w:val="Heading1"/>
      </w:pPr>
      <w:r>
        <w:t>4. Required follow-up for Acme Demo Bank</w:t>
      </w:r>
    </w:p>
    <w:p>
      <w:pPr>
        <w:pStyle w:val="ListBullet"/>
      </w:pPr>
      <w:r>
        <w:t>High-tier bank target is RTO 4 hours and RPO 1 hour; vendor-stated targets are 8 hours and 4 hours.</w:t>
      </w:r>
    </w:p>
    <w:p>
      <w:pPr>
        <w:pStyle w:val="ListBullet"/>
      </w:pPr>
      <w:r>
        <w:t>High-tier recovery testing must be annual and demonstrate technical restoration; the supplied exercise is over 12 months old and only partially demonstrates failover.</w:t>
      </w:r>
    </w:p>
    <w:p>
      <w:pPr>
        <w:pStyle w:val="ListBullet"/>
      </w:pPr>
      <w:r>
        <w:t>The bank standard requires initial incident notice within 24 hours; the vendor template allows up to 72 hours after confirmation.</w:t>
      </w:r>
    </w:p>
    <w:p>
      <w:pPr>
        <w:pStyle w:val="ListBullet"/>
      </w:pPr>
      <w:r>
        <w:t>Obtain a retest plan and closure evidence for the DNS cutover issue, subprocessor outage coverage, backup restoration, and incident escalation contacts.</w:t>
      </w:r>
    </w:p>
    <w:p>
      <w:r>
        <w:t>All responses and organizations in this file are synthetic. It is designed to test evidence comparison and gap identification, not to represent a real vendor.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3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5C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5F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5C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