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pPr>
      <w:r>
        <w:rPr>
          <w:rFonts w:ascii="Arial" w:cs="Arial" w:eastAsia="Arial" w:hAnsi="Arial"/>
          <w:b/>
          <w:bCs/>
          <w:color w:val="1F4E79"/>
          <w:sz w:val="52"/>
          <w:szCs w:val="52"/>
        </w:rPr>
        <w:t xml:space="preserve">INTERVIEW PREPARATION GUIDE</w:t>
      </w:r>
    </w:p>
    <w:p>
      <w:pPr>
        <w:spacing w:after="100" w:before="0"/>
      </w:pPr>
      <w:r>
        <w:rPr>
          <w:rFonts w:ascii="Arial" w:cs="Arial" w:eastAsia="Arial" w:hAnsi="Arial"/>
          <w:color w:val="2E75B6"/>
          <w:sz w:val="30"/>
          <w:szCs w:val="30"/>
        </w:rPr>
        <w:t xml:space="preserve">Apple IS&amp;T  –  SAP Engineering Project Manager</w:t>
      </w:r>
    </w:p>
    <w:p>
      <w:pPr>
        <w:pBdr>
          <w:bottom w:val="single" w:color="2E75B6" w:sz="12" w:space="6"/>
        </w:pBdr>
        <w:spacing w:after="360" w:before="0"/>
      </w:pPr>
      <w:r>
        <w:rPr>
          <w:rFonts w:ascii="Arial" w:cs="Arial" w:eastAsia="Arial" w:hAnsi="Arial"/>
          <w:color w:val="666666"/>
          <w:sz w:val="24"/>
          <w:szCs w:val="24"/>
        </w:rPr>
        <w:t xml:space="preserve">Ganesh Krishnasingh  |  Capgemini Senior SAP Solution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D6E4F0" w:val="clear"/>
            <w:tcMar>
              <w:top w:type="dxa" w:w="140"/>
              <w:left w:type="dxa" w:w="120"/>
              <w:bottom w:type="dxa" w:w="140"/>
              <w:right w:type="dxa" w:w="120"/>
            </w:tcMar>
          </w:tcPr>
          <w:p>
            <w:pPr>
              <w:jc w:val="center"/>
            </w:pPr>
            <w:r>
              <w:rPr>
                <w:rFonts w:ascii="Arial" w:cs="Arial" w:eastAsia="Arial" w:hAnsi="Arial"/>
                <w:b/>
                <w:bCs/>
                <w:color w:val="1F4E79"/>
                <w:sz w:val="56"/>
                <w:szCs w:val="56"/>
              </w:rPr>
              <w:t xml:space="preserve">87%</w:t>
            </w:r>
          </w:p>
          <w:p>
            <w:pPr>
              <w:jc w:val="center"/>
            </w:pPr>
            <w:r>
              <w:rPr>
                <w:rFonts w:ascii="Arial" w:cs="Arial" w:eastAsia="Arial" w:hAnsi="Arial"/>
                <w:color w:val="555555"/>
                <w:sz w:val="18"/>
                <w:szCs w:val="18"/>
              </w:rPr>
              <w:t xml:space="preserve">Qualification Match</w:t>
            </w:r>
          </w:p>
        </w:tc>
        <w:tc>
          <w:tcPr>
            <w:tcW w:type="dxa" w:w="2340"/>
            <w:tcBorders>
              <w:top w:val="single" w:color="2E75B6" w:sz="1"/>
              <w:left w:val="single" w:color="2E75B6" w:sz="1"/>
              <w:bottom w:val="single" w:color="2E75B6" w:sz="1"/>
              <w:right w:val="single" w:color="2E75B6" w:sz="1"/>
            </w:tcBorders>
            <w:shd w:fill="D6E4F0" w:val="clear"/>
            <w:tcMar>
              <w:top w:type="dxa" w:w="140"/>
              <w:left w:type="dxa" w:w="120"/>
              <w:bottom w:type="dxa" w:w="140"/>
              <w:right w:type="dxa" w:w="120"/>
            </w:tcMar>
          </w:tcPr>
          <w:p>
            <w:pPr>
              <w:jc w:val="center"/>
            </w:pPr>
            <w:r>
              <w:rPr>
                <w:rFonts w:ascii="Arial" w:cs="Arial" w:eastAsia="Arial" w:hAnsi="Arial"/>
                <w:b/>
                <w:bCs/>
                <w:color w:val="1F4E79"/>
                <w:sz w:val="56"/>
                <w:szCs w:val="56"/>
              </w:rPr>
              <w:t xml:space="preserve">15+</w:t>
            </w:r>
          </w:p>
          <w:p>
            <w:pPr>
              <w:jc w:val="center"/>
            </w:pPr>
            <w:r>
              <w:rPr>
                <w:rFonts w:ascii="Arial" w:cs="Arial" w:eastAsia="Arial" w:hAnsi="Arial"/>
                <w:color w:val="555555"/>
                <w:sz w:val="18"/>
                <w:szCs w:val="18"/>
              </w:rPr>
              <w:t xml:space="preserve">Years SAP Experience</w:t>
            </w:r>
          </w:p>
        </w:tc>
        <w:tc>
          <w:tcPr>
            <w:tcW w:type="dxa" w:w="2340"/>
            <w:tcBorders>
              <w:top w:val="single" w:color="2E75B6" w:sz="1"/>
              <w:left w:val="single" w:color="2E75B6" w:sz="1"/>
              <w:bottom w:val="single" w:color="2E75B6" w:sz="1"/>
              <w:right w:val="single" w:color="2E75B6" w:sz="1"/>
            </w:tcBorders>
            <w:shd w:fill="D6E4F0" w:val="clear"/>
            <w:tcMar>
              <w:top w:type="dxa" w:w="140"/>
              <w:left w:type="dxa" w:w="120"/>
              <w:bottom w:type="dxa" w:w="140"/>
              <w:right w:type="dxa" w:w="120"/>
            </w:tcMar>
          </w:tcPr>
          <w:p>
            <w:pPr>
              <w:jc w:val="center"/>
            </w:pPr>
            <w:r>
              <w:rPr>
                <w:rFonts w:ascii="Arial" w:cs="Arial" w:eastAsia="Arial" w:hAnsi="Arial"/>
                <w:b/>
                <w:bCs/>
                <w:color w:val="1F4E79"/>
                <w:sz w:val="56"/>
                <w:szCs w:val="56"/>
              </w:rPr>
              <w:t xml:space="preserve">7</w:t>
            </w:r>
          </w:p>
          <w:p>
            <w:pPr>
              <w:jc w:val="center"/>
            </w:pPr>
            <w:r>
              <w:rPr>
                <w:rFonts w:ascii="Arial" w:cs="Arial" w:eastAsia="Arial" w:hAnsi="Arial"/>
                <w:color w:val="555555"/>
                <w:sz w:val="18"/>
                <w:szCs w:val="18"/>
              </w:rPr>
              <w:t xml:space="preserve">Implementations Led</w:t>
            </w:r>
          </w:p>
        </w:tc>
        <w:tc>
          <w:tcPr>
            <w:tcW w:type="dxa" w:w="2340"/>
            <w:tcBorders>
              <w:top w:val="single" w:color="2E75B6" w:sz="1"/>
              <w:left w:val="single" w:color="2E75B6" w:sz="1"/>
              <w:bottom w:val="single" w:color="2E75B6" w:sz="1"/>
              <w:right w:val="single" w:color="2E75B6" w:sz="1"/>
            </w:tcBorders>
            <w:shd w:fill="D6E4F0" w:val="clear"/>
            <w:tcMar>
              <w:top w:type="dxa" w:w="140"/>
              <w:left w:type="dxa" w:w="120"/>
              <w:bottom w:type="dxa" w:w="140"/>
              <w:right w:type="dxa" w:w="120"/>
            </w:tcMar>
          </w:tcPr>
          <w:p>
            <w:pPr>
              <w:jc w:val="center"/>
            </w:pPr>
            <w:r>
              <w:rPr>
                <w:rFonts w:ascii="Arial" w:cs="Arial" w:eastAsia="Arial" w:hAnsi="Arial"/>
                <w:b/>
                <w:bCs/>
                <w:color w:val="1F4E79"/>
                <w:sz w:val="56"/>
                <w:szCs w:val="56"/>
              </w:rPr>
              <w:t xml:space="preserve">52+</w:t>
            </w:r>
          </w:p>
          <w:p>
            <w:pPr>
              <w:jc w:val="center"/>
            </w:pPr>
            <w:r>
              <w:rPr>
                <w:rFonts w:ascii="Arial" w:cs="Arial" w:eastAsia="Arial" w:hAnsi="Arial"/>
                <w:color w:val="555555"/>
                <w:sz w:val="18"/>
                <w:szCs w:val="18"/>
              </w:rPr>
              <w:t xml:space="preserve">Consultants Managed</w:t>
            </w:r>
          </w:p>
        </w:tc>
      </w:tr>
    </w:tbl>
    <w:p>
      <w:pPr>
        <w:spacing w:after="160" w:before="0"/>
      </w:pPr>
      <w:r>
        <w:t xml:space="preserve"/>
      </w:r>
    </w:p>
    <w:p>
      <w:pPr>
        <w:spacing w:after="160" w:before="0"/>
      </w:pPr>
      <w:r>
        <w:t xml:space="preserve"/>
      </w:r>
    </w:p>
    <w:p>
      <w:r>
        <w:br w:type="page"/>
      </w:r>
    </w:p>
    <w:p>
      <w:pPr>
        <w:pBdr>
          <w:bottom w:val="single" w:color="2E75B6" w:sz="8" w:space="4"/>
        </w:pBdr>
        <w:spacing w:after="120" w:before="400"/>
      </w:pPr>
      <w:r>
        <w:rPr>
          <w:rFonts w:ascii="Arial" w:cs="Arial" w:eastAsia="Arial" w:hAnsi="Arial"/>
          <w:b/>
          <w:bCs/>
          <w:color w:val="1F4E79"/>
          <w:sz w:val="34"/>
          <w:szCs w:val="34"/>
        </w:rPr>
        <w:t xml:space="preserve">1.  Fit Analysis &amp; Positioning</w:t>
      </w:r>
    </w:p>
    <w:p>
      <w:pPr>
        <w:spacing w:after="160" w:before="0"/>
      </w:pPr>
      <w:r>
        <w:t xml:space="preserve"/>
      </w:r>
    </w:p>
    <w:p>
      <w:pPr>
        <w:spacing w:after="100" w:before="280"/>
      </w:pPr>
      <w:r>
        <w:rPr>
          <w:rFonts w:ascii="Arial" w:cs="Arial" w:eastAsia="Arial" w:hAnsi="Arial"/>
          <w:b/>
          <w:bCs/>
          <w:color w:val="2E75B6"/>
          <w:sz w:val="26"/>
          <w:szCs w:val="26"/>
        </w:rPr>
        <w:t xml:space="preserve">1.1  Core Strengths — Lead With These</w:t>
      </w:r>
    </w:p>
    <w:p>
      <w:pPr>
        <w:spacing w:after="160" w:before="0"/>
      </w:pPr>
      <w:r>
        <w:t xml:space="preserve"/>
      </w:r>
    </w:p>
    <w:p>
      <w:pPr>
        <w:pStyle w:val="ListParagraph"/>
        <w:numPr>
          <w:ilvl w:val="0"/>
          <w:numId w:val="2"/>
        </w:numPr>
        <w:spacing w:after="60" w:before="40"/>
      </w:pPr>
      <w:r>
        <w:rPr>
          <w:rFonts w:ascii="Arial" w:cs="Arial" w:eastAsia="Arial" w:hAnsi="Arial"/>
          <w:sz w:val="22"/>
          <w:szCs w:val="22"/>
        </w:rPr>
        <w:t xml:space="preserve">BTP architecture and extensibility (Side-by-Side, Key, On-Stack)</w:t>
      </w:r>
    </w:p>
    <w:p>
      <w:pPr>
        <w:pStyle w:val="ListParagraph"/>
        <w:numPr>
          <w:ilvl w:val="0"/>
          <w:numId w:val="2"/>
        </w:numPr>
        <w:spacing w:after="60" w:before="40"/>
      </w:pPr>
      <w:r>
        <w:rPr>
          <w:rFonts w:ascii="Arial" w:cs="Arial" w:eastAsia="Arial" w:hAnsi="Arial"/>
          <w:sz w:val="22"/>
          <w:szCs w:val="22"/>
        </w:rPr>
        <w:t xml:space="preserve">Clean Core governance — 168 objects at Amgen, zero upgrade blockers</w:t>
      </w:r>
    </w:p>
    <w:p>
      <w:pPr>
        <w:pStyle w:val="ListParagraph"/>
        <w:numPr>
          <w:ilvl w:val="0"/>
          <w:numId w:val="2"/>
        </w:numPr>
        <w:spacing w:after="60" w:before="40"/>
      </w:pPr>
      <w:r>
        <w:rPr>
          <w:rFonts w:ascii="Arial" w:cs="Arial" w:eastAsia="Arial" w:hAnsi="Arial"/>
          <w:sz w:val="22"/>
          <w:szCs w:val="22"/>
        </w:rPr>
        <w:t xml:space="preserve">SAP Logistics depth: MM, EWM, TM, SD, ATTP pharma serialization</w:t>
      </w:r>
    </w:p>
    <w:p>
      <w:pPr>
        <w:pStyle w:val="ListParagraph"/>
        <w:numPr>
          <w:ilvl w:val="0"/>
          <w:numId w:val="2"/>
        </w:numPr>
        <w:spacing w:after="60" w:before="40"/>
      </w:pPr>
      <w:r>
        <w:rPr>
          <w:rFonts w:ascii="Arial" w:cs="Arial" w:eastAsia="Arial" w:hAnsi="Arial"/>
          <w:sz w:val="22"/>
          <w:szCs w:val="22"/>
        </w:rPr>
        <w:t xml:space="preserve">GenAI / BTP AI Core — built and deployed production Python/FastAPI LLM service</w:t>
      </w:r>
    </w:p>
    <w:p>
      <w:pPr>
        <w:pStyle w:val="ListParagraph"/>
        <w:numPr>
          <w:ilvl w:val="0"/>
          <w:numId w:val="2"/>
        </w:numPr>
        <w:spacing w:after="60" w:before="40"/>
      </w:pPr>
      <w:r>
        <w:rPr>
          <w:rFonts w:ascii="Arial" w:cs="Arial" w:eastAsia="Arial" w:hAnsi="Arial"/>
          <w:sz w:val="22"/>
          <w:szCs w:val="22"/>
        </w:rPr>
        <w:t xml:space="preserve">Global delivery management — 52+ consultants, 7 end-to-end implementations</w:t>
      </w:r>
    </w:p>
    <w:p>
      <w:pPr>
        <w:pStyle w:val="ListParagraph"/>
        <w:numPr>
          <w:ilvl w:val="0"/>
          <w:numId w:val="2"/>
        </w:numPr>
        <w:spacing w:after="60" w:before="40"/>
      </w:pPr>
      <w:r>
        <w:rPr>
          <w:rFonts w:ascii="Arial" w:cs="Arial" w:eastAsia="Arial" w:hAnsi="Arial"/>
          <w:sz w:val="22"/>
          <w:szCs w:val="22"/>
        </w:rPr>
        <w:t xml:space="preserve">API-led and event-driven integration architecture (Event Mesh, BTP-IS)</w:t>
      </w:r>
    </w:p>
    <w:p>
      <w:pPr>
        <w:pStyle w:val="ListParagraph"/>
        <w:numPr>
          <w:ilvl w:val="0"/>
          <w:numId w:val="2"/>
        </w:numPr>
        <w:spacing w:after="60" w:before="40"/>
      </w:pPr>
      <w:r>
        <w:rPr>
          <w:rFonts w:ascii="Arial" w:cs="Arial" w:eastAsia="Arial" w:hAnsi="Arial"/>
          <w:sz w:val="22"/>
          <w:szCs w:val="22"/>
        </w:rPr>
        <w:t xml:space="preserve">ABAP / RAP-ABAP / CDS Views / OData development</w:t>
      </w:r>
    </w:p>
    <w:p>
      <w:pPr>
        <w:pStyle w:val="ListParagraph"/>
        <w:numPr>
          <w:ilvl w:val="0"/>
          <w:numId w:val="2"/>
        </w:numPr>
        <w:spacing w:after="60" w:before="40"/>
      </w:pPr>
      <w:r>
        <w:rPr>
          <w:rFonts w:ascii="Arial" w:cs="Arial" w:eastAsia="Arial" w:hAnsi="Arial"/>
          <w:sz w:val="22"/>
          <w:szCs w:val="22"/>
        </w:rPr>
        <w:t xml:space="preserve">EDI / ALE / IDOC enterprise integration patterns</w:t>
      </w:r>
    </w:p>
    <w:p>
      <w:pPr>
        <w:spacing w:after="160" w:before="0"/>
      </w:pPr>
      <w:r>
        <w:t xml:space="preserve"/>
      </w:r>
    </w:p>
    <w:p>
      <w:pPr>
        <w:spacing w:after="100" w:before="280"/>
      </w:pPr>
      <w:r>
        <w:rPr>
          <w:rFonts w:ascii="Arial" w:cs="Arial" w:eastAsia="Arial" w:hAnsi="Arial"/>
          <w:b/>
          <w:bCs/>
          <w:color w:val="2E75B6"/>
          <w:sz w:val="26"/>
          <w:szCs w:val="26"/>
        </w:rPr>
        <w:t xml:space="preserve">1.2  Gap Areas — Bridge Messaging Required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FC107" w:sz="16"/>
              <w:bottom w:val="none" w:color="FFFFFF" w:sz="0"/>
              <w:right w:val="single" w:color="CCCCCC" w:sz="1"/>
            </w:tcBorders>
            <w:shd w:fill="FFF8E1" w:val="clear"/>
            <w:tcMar>
              <w:top w:type="dxa" w:w="80"/>
              <w:left w:type="dxa" w:w="160"/>
              <w:bottom w:type="dxa" w:w="60"/>
              <w:right w:type="dxa" w:w="120"/>
            </w:tcMar>
          </w:tcPr>
          <w:p>
            <w:r>
              <w:rPr>
                <w:rFonts w:ascii="Arial" w:cs="Arial" w:eastAsia="Arial" w:hAnsi="Arial"/>
                <w:b/>
                <w:bCs/>
                <w:color w:val="7B4F00"/>
                <w:sz w:val="20"/>
                <w:szCs w:val="20"/>
              </w:rPr>
              <w:t xml:space="preserve">Consumer electronics domain (no direct experience)</w:t>
            </w:r>
          </w:p>
        </w:tc>
      </w:tr>
      <w:tr>
        <w:tc>
          <w:tcPr>
            <w:tcBorders>
              <w:top w:val="none" w:color="FFFFFF" w:sz="0"/>
              <w:left w:val="single" w:color="FFC107" w:sz="16"/>
              <w:bottom w:val="single" w:color="CCCCCC" w:sz="1"/>
              <w:right w:val="single" w:color="CCCCCC" w:sz="1"/>
            </w:tcBorders>
            <w:shd w:fill="FFFFFF" w:val="clear"/>
            <w:tcMar>
              <w:top w:type="dxa" w:w="60"/>
              <w:left w:type="dxa" w:w="160"/>
              <w:bottom w:type="dxa" w:w="100"/>
              <w:right w:type="dxa" w:w="120"/>
            </w:tcMar>
          </w:tcPr>
          <w:p>
            <w:r>
              <w:rPr>
                <w:rFonts w:ascii="Arial" w:cs="Arial" w:eastAsia="Arial" w:hAnsi="Arial"/>
                <w:sz w:val="20"/>
                <w:szCs w:val="20"/>
              </w:rPr>
              <w:t xml:space="preserve">Bridge: Pharma GxP / FDA serialization operates at the same mission-critical standard. Domain shifts from drug traceability to device supply chain; architectural discipline is identical. I embed with BPR teams and business SMEs to accelerate domain context quickly.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FC107" w:sz="16"/>
              <w:bottom w:val="none" w:color="FFFFFF" w:sz="0"/>
              <w:right w:val="single" w:color="CCCCCC" w:sz="1"/>
            </w:tcBorders>
            <w:shd w:fill="FFF8E1" w:val="clear"/>
            <w:tcMar>
              <w:top w:type="dxa" w:w="80"/>
              <w:left w:type="dxa" w:w="160"/>
              <w:bottom w:type="dxa" w:w="60"/>
              <w:right w:type="dxa" w:w="120"/>
            </w:tcMar>
          </w:tcPr>
          <w:p>
            <w:r>
              <w:rPr>
                <w:rFonts w:ascii="Arial" w:cs="Arial" w:eastAsia="Arial" w:hAnsi="Arial"/>
                <w:b/>
                <w:bCs/>
                <w:color w:val="7B4F00"/>
                <w:sz w:val="20"/>
                <w:szCs w:val="20"/>
              </w:rPr>
              <w:t xml:space="preserve">OTC / carrier EDI 841 depth</w:t>
            </w:r>
          </w:p>
        </w:tc>
      </w:tr>
      <w:tr>
        <w:tc>
          <w:tcPr>
            <w:tcBorders>
              <w:top w:val="none" w:color="FFFFFF" w:sz="0"/>
              <w:left w:val="single" w:color="FFC107" w:sz="16"/>
              <w:bottom w:val="single" w:color="CCCCCC" w:sz="1"/>
              <w:right w:val="single" w:color="CCCCCC" w:sz="1"/>
            </w:tcBorders>
            <w:shd w:fill="FFFFFF" w:val="clear"/>
            <w:tcMar>
              <w:top w:type="dxa" w:w="60"/>
              <w:left w:type="dxa" w:w="160"/>
              <w:bottom w:type="dxa" w:w="100"/>
              <w:right w:type="dxa" w:w="120"/>
            </w:tcMar>
          </w:tcPr>
          <w:p>
            <w:r>
              <w:rPr>
                <w:rFonts w:ascii="Arial" w:cs="Arial" w:eastAsia="Arial" w:hAnsi="Arial"/>
                <w:sz w:val="20"/>
                <w:szCs w:val="20"/>
              </w:rPr>
              <w:t xml:space="preserve">Bridge: SD and EWM OTC coverage is solid end-to-end. EDI 841 is a specific transaction set I would ramp on in the first 30 days. The integration design patterns, error handling, and trading partner management frameworks I bring are already proven.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FC107" w:sz="16"/>
              <w:bottom w:val="none" w:color="FFFFFF" w:sz="0"/>
              <w:right w:val="single" w:color="CCCCCC" w:sz="1"/>
            </w:tcBorders>
            <w:shd w:fill="FFF8E1" w:val="clear"/>
            <w:tcMar>
              <w:top w:type="dxa" w:w="80"/>
              <w:left w:type="dxa" w:w="160"/>
              <w:bottom w:type="dxa" w:w="60"/>
              <w:right w:type="dxa" w:w="120"/>
            </w:tcMar>
          </w:tcPr>
          <w:p>
            <w:r>
              <w:rPr>
                <w:rFonts w:ascii="Arial" w:cs="Arial" w:eastAsia="Arial" w:hAnsi="Arial"/>
                <w:b/>
                <w:bCs/>
                <w:color w:val="7B4F00"/>
                <w:sz w:val="20"/>
                <w:szCs w:val="20"/>
              </w:rPr>
              <w:t xml:space="preserve">Python hands-on depth</w:t>
            </w:r>
          </w:p>
        </w:tc>
      </w:tr>
      <w:tr>
        <w:tc>
          <w:tcPr>
            <w:tcBorders>
              <w:top w:val="none" w:color="FFFFFF" w:sz="0"/>
              <w:left w:val="single" w:color="FFC107" w:sz="16"/>
              <w:bottom w:val="single" w:color="CCCCCC" w:sz="1"/>
              <w:right w:val="single" w:color="CCCCCC" w:sz="1"/>
            </w:tcBorders>
            <w:shd w:fill="FFFFFF" w:val="clear"/>
            <w:tcMar>
              <w:top w:type="dxa" w:w="60"/>
              <w:left w:type="dxa" w:w="160"/>
              <w:bottom w:type="dxa" w:w="100"/>
              <w:right w:type="dxa" w:w="120"/>
            </w:tcMar>
          </w:tcPr>
          <w:p>
            <w:r>
              <w:rPr>
                <w:rFonts w:ascii="Arial" w:cs="Arial" w:eastAsia="Arial" w:hAnsi="Arial"/>
                <w:sz w:val="20"/>
                <w:szCs w:val="20"/>
              </w:rPr>
              <w:t xml:space="preserve">Bridge: I built and deployed a production Python/FastAPI backend for our BTP AI Core GenAI assistant — including prompt orchestration, API endpoint design, SSE streaming, and SAP BTP service binding. Not a full-time Python developer, but practical AI/ML Python experience is real and production-grade.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FC107" w:sz="16"/>
              <w:bottom w:val="none" w:color="FFFFFF" w:sz="0"/>
              <w:right w:val="single" w:color="CCCCCC" w:sz="1"/>
            </w:tcBorders>
            <w:shd w:fill="FFF8E1" w:val="clear"/>
            <w:tcMar>
              <w:top w:type="dxa" w:w="80"/>
              <w:left w:type="dxa" w:w="160"/>
              <w:bottom w:type="dxa" w:w="60"/>
              <w:right w:type="dxa" w:w="120"/>
            </w:tcMar>
          </w:tcPr>
          <w:p>
            <w:r>
              <w:rPr>
                <w:rFonts w:ascii="Arial" w:cs="Arial" w:eastAsia="Arial" w:hAnsi="Arial"/>
                <w:b/>
                <w:bCs/>
                <w:color w:val="7B4F00"/>
                <w:sz w:val="20"/>
                <w:szCs w:val="20"/>
              </w:rPr>
              <w:t xml:space="preserve">B2B 3PL / carrier integrations</w:t>
            </w:r>
          </w:p>
        </w:tc>
      </w:tr>
      <w:tr>
        <w:tc>
          <w:tcPr>
            <w:tcBorders>
              <w:top w:val="none" w:color="FFFFFF" w:sz="0"/>
              <w:left w:val="single" w:color="FFC107" w:sz="16"/>
              <w:bottom w:val="single" w:color="CCCCCC" w:sz="1"/>
              <w:right w:val="single" w:color="CCCCCC" w:sz="1"/>
            </w:tcBorders>
            <w:shd w:fill="FFFFFF" w:val="clear"/>
            <w:tcMar>
              <w:top w:type="dxa" w:w="60"/>
              <w:left w:type="dxa" w:w="160"/>
              <w:bottom w:type="dxa" w:w="100"/>
              <w:right w:type="dxa" w:w="120"/>
            </w:tcMar>
          </w:tcPr>
          <w:p>
            <w:r>
              <w:rPr>
                <w:rFonts w:ascii="Arial" w:cs="Arial" w:eastAsia="Arial" w:hAnsi="Arial"/>
                <w:sz w:val="20"/>
                <w:szCs w:val="20"/>
              </w:rPr>
              <w:t xml:space="preserve">Bridge: Architected integrations with Tracelink (cloud), WERUM PAS-X (MES), and ASRS vendors — all outside-enterprise, non-SAP partners requiring EDI, API, and file-based exchange. The 3PL and carrier-specific protocols are domain-specific; the integration architecture principles carry over directly.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FC107" w:sz="16"/>
              <w:bottom w:val="none" w:color="FFFFFF" w:sz="0"/>
              <w:right w:val="single" w:color="CCCCCC" w:sz="1"/>
            </w:tcBorders>
            <w:shd w:fill="FFF8E1" w:val="clear"/>
            <w:tcMar>
              <w:top w:type="dxa" w:w="80"/>
              <w:left w:type="dxa" w:w="160"/>
              <w:bottom w:type="dxa" w:w="60"/>
              <w:right w:type="dxa" w:w="120"/>
            </w:tcMar>
          </w:tcPr>
          <w:p>
            <w:r>
              <w:rPr>
                <w:rFonts w:ascii="Arial" w:cs="Arial" w:eastAsia="Arial" w:hAnsi="Arial"/>
                <w:b/>
                <w:bCs/>
                <w:color w:val="7B4F00"/>
                <w:sz w:val="20"/>
                <w:szCs w:val="20"/>
              </w:rPr>
              <w:t xml:space="preserve">Full PLC ownership (EPM title implies PM accountability)</w:t>
            </w:r>
          </w:p>
        </w:tc>
      </w:tr>
      <w:tr>
        <w:tc>
          <w:tcPr>
            <w:tcBorders>
              <w:top w:val="none" w:color="FFFFFF" w:sz="0"/>
              <w:left w:val="single" w:color="FFC107" w:sz="16"/>
              <w:bottom w:val="single" w:color="CCCCCC" w:sz="1"/>
              <w:right w:val="single" w:color="CCCCCC" w:sz="1"/>
            </w:tcBorders>
            <w:shd w:fill="FFFFFF" w:val="clear"/>
            <w:tcMar>
              <w:top w:type="dxa" w:w="60"/>
              <w:left w:type="dxa" w:w="160"/>
              <w:bottom w:type="dxa" w:w="100"/>
              <w:right w:type="dxa" w:w="120"/>
            </w:tcMar>
          </w:tcPr>
          <w:p>
            <w:r>
              <w:rPr>
                <w:rFonts w:ascii="Arial" w:cs="Arial" w:eastAsia="Arial" w:hAnsi="Arial"/>
                <w:sz w:val="20"/>
                <w:szCs w:val="20"/>
              </w:rPr>
              <w:t xml:space="preserve">Bridge: As Delivery Manager at Capgemini I own the full project lifecycle — scope negotiation, budget, timeline, quality gates, stakeholder communication — across multiple concurrent implementations. The EPM title is a natural progression with the appropriate designation.</w:t>
            </w:r>
          </w:p>
        </w:tc>
      </w:tr>
    </w:tbl>
    <w:p>
      <w:pPr>
        <w:spacing w:after="160" w:before="0"/>
      </w:pPr>
      <w:r>
        <w:t xml:space="preserve"/>
      </w:r>
    </w:p>
    <w:p>
      <w:pPr>
        <w:spacing w:after="160" w:before="0"/>
      </w:pPr>
      <w:r>
        <w:t xml:space="preserve"/>
      </w:r>
    </w:p>
    <w:p>
      <w:r>
        <w:br w:type="page"/>
      </w:r>
    </w:p>
    <w:p>
      <w:pPr>
        <w:pBdr>
          <w:bottom w:val="single" w:color="2E75B6" w:sz="8" w:space="4"/>
        </w:pBdr>
        <w:spacing w:after="120" w:before="400"/>
      </w:pPr>
      <w:r>
        <w:rPr>
          <w:rFonts w:ascii="Arial" w:cs="Arial" w:eastAsia="Arial" w:hAnsi="Arial"/>
          <w:b/>
          <w:bCs/>
          <w:color w:val="1F4E79"/>
          <w:sz w:val="34"/>
          <w:szCs w:val="34"/>
        </w:rPr>
        <w:t xml:space="preserve">2.  Opening Pitch — “Tell Me About Yourself”</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6"/>
              <w:bottom w:val="single" w:color="2E75B6" w:sz="1"/>
              <w:right w:val="single" w:color="2E75B6" w:sz="1"/>
            </w:tcBorders>
            <w:shd w:fill="D6E4F0" w:val="clear"/>
            <w:tcMar>
              <w:top w:type="dxa" w:w="120"/>
              <w:left w:type="dxa" w:w="180"/>
              <w:bottom w:type="dxa" w:w="120"/>
              <w:right w:type="dxa" w:w="180"/>
            </w:tcMar>
          </w:tcPr>
          <w:p>
            <w:r>
              <w:rPr>
                <w:rFonts w:ascii="Arial" w:cs="Arial" w:eastAsia="Arial" w:hAnsi="Arial"/>
                <w:i/>
                <w:iCs/>
                <w:color w:val="333333"/>
                <w:sz w:val="20"/>
                <w:szCs w:val="20"/>
              </w:rPr>
              <w:t xml:space="preserve">Deliver this in 60–90 seconds. Speak slowly. Anchor each claim to a real project.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c>
          <w:tcPr>
            <w:gridSpan w:val="2"/>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Paragraph 1 — Establish Credibility</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Deliver</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 a Senior SAP Solution Architect and Delivery Manager with over 15 years in enterprise SAP implementations and the last seven in strategic leadership roles managing global teams of 50-plus consultants.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c>
          <w:tcPr>
            <w:gridSpan w:val="2"/>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Paragraph 2 — Anchor to Real Outcomes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Deliver</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work centres on two things: architecting scalable, Clean Core S/4HANA solutions on BTP, and driving those solutions to zero-defect delivery. At Amgen, I led 168 Clean Core objects for their S/4HANA 2023 brownfield implementation with near-zero defects. At Johnson Controls, 62 objects with zero iteration defects. In both cases I owned the full technical architecture — from BTP extensibility design to event-driven integration with third-party systems.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c>
          <w:tcPr>
            <w:gridSpan w:val="2"/>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Paragraph 3 — Connect to Apple’s AI Agenda</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Deliver</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recently I’ve built GenAI-powered automation tools integrating SAP BTP AI Core with Python and FastAPI services — which aligns directly with what Apple IS&amp;T is building here. I’m drawn to this role because Apple runs Operations at a scale and precision very few companies match, and I want to bring that same rigor from pharma and manufacturing to a consumer electronics environment where every millisecond and every data point matters.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1"/>
              <w:left w:val="single" w:color="4CAF50" w:sz="16"/>
              <w:bottom w:val="single" w:color="4CAF50" w:sz="1"/>
              <w:right w:val="single" w:color="4CAF50" w:sz="1"/>
            </w:tcBorders>
            <w:shd w:fill="E8F5E9" w:val="clear"/>
            <w:tcMar>
              <w:top w:type="dxa" w:w="120"/>
              <w:left w:type="dxa" w:w="180"/>
              <w:bottom w:type="dxa" w:w="120"/>
              <w:right w:type="dxa" w:w="180"/>
            </w:tcMar>
          </w:tcPr>
          <w:p>
            <w:r>
              <w:rPr>
                <w:rFonts w:ascii="Arial" w:cs="Arial" w:eastAsia="Arial" w:hAnsi="Arial"/>
                <w:i/>
                <w:iCs/>
                <w:color w:val="333333"/>
                <w:sz w:val="20"/>
                <w:szCs w:val="20"/>
              </w:rPr>
              <w:t xml:space="preserve">Closing: “I bring the rare combination of hands-on BTP custom application development — including AI/ML integration — and the delivery management rigor to execute complex, multi-team programs on time. I’ve governed Clean Core standards across global teams, which means I know how to enforce enterprise guidelines without slowing innovation — exactly what Apple needs as it scales its SAP platform with AI capabilities.”</w:t>
            </w:r>
          </w:p>
        </w:tc>
      </w:tr>
    </w:tbl>
    <w:p>
      <w:r>
        <w:br w:type="page"/>
      </w:r>
    </w:p>
    <w:p>
      <w:pPr>
        <w:pBdr>
          <w:bottom w:val="single" w:color="2E75B6" w:sz="8" w:space="4"/>
        </w:pBdr>
        <w:spacing w:after="120" w:before="400"/>
      </w:pPr>
      <w:r>
        <w:rPr>
          <w:rFonts w:ascii="Arial" w:cs="Arial" w:eastAsia="Arial" w:hAnsi="Arial"/>
          <w:b/>
          <w:bCs/>
          <w:color w:val="1F4E79"/>
          <w:sz w:val="34"/>
          <w:szCs w:val="34"/>
        </w:rPr>
        <w:t xml:space="preserve">3.  Key Interview Questions &amp; STAR Responses</w:t>
      </w:r>
    </w:p>
    <w:p>
      <w:pPr>
        <w:spacing w:after="160" w:before="0"/>
      </w:pPr>
      <w:r>
        <w:t xml:space="preserve"/>
      </w:r>
    </w:p>
    <w:p>
      <w:pPr>
        <w:spacing w:after="100" w:before="280"/>
      </w:pPr>
      <w:r>
        <w:rPr>
          <w:rFonts w:ascii="Arial" w:cs="Arial" w:eastAsia="Arial" w:hAnsi="Arial"/>
          <w:b/>
          <w:bCs/>
          <w:color w:val="2E75B6"/>
          <w:sz w:val="26"/>
          <w:szCs w:val="26"/>
        </w:rPr>
        <w:t xml:space="preserve">3.1  Behavioral Questions</w:t>
      </w:r>
    </w:p>
    <w:p>
      <w:pPr>
        <w:spacing w:after="160" w:before="0"/>
      </w:pPr>
      <w:r>
        <w:t xml:space="preserve"/>
      </w:r>
    </w:p>
    <w:p>
      <w:pPr>
        <w:spacing w:after="80" w:before="200"/>
      </w:pPr>
      <w:r>
        <w:rPr>
          <w:rFonts w:ascii="Arial" w:cs="Arial" w:eastAsia="Arial" w:hAnsi="Arial"/>
          <w:b/>
          <w:bCs/>
          <w:color w:val="1F4E79"/>
          <w:sz w:val="22"/>
          <w:szCs w:val="22"/>
        </w:rPr>
        <w:t xml:space="preserve">Q1: Tell me about a time you led a complex, multi-team SAP program under tight constraints.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STAR Response</w:t>
            </w:r>
          </w:p>
        </w:tc>
      </w:tr>
      <w:tr>
        <w:tc>
          <w:tcPr>
            <w:tcW w:type="dxa" w:w="14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sz w:val="20"/>
                <w:szCs w:val="20"/>
              </w:rPr>
              <w:t xml:space="preserve">Situation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Amgen needed a brownfield S/4HANA 2023 migration with strict Clean Core compliance across a globally distributed team — pharma-grade quality, zero tolerance for production defects.</w:t>
            </w:r>
          </w:p>
        </w:tc>
      </w:tr>
      <w:tr>
        <w:tc>
          <w:tcPr>
            <w:tcW w:type="dxa" w:w="14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owned the end-to-end technical architecture, Clean Core governance standards, and delivery management for 168 RICEFW objects across onshore and offshore teams.</w:t>
            </w:r>
          </w:p>
        </w:tc>
      </w:tr>
      <w:tr>
        <w:tc>
          <w:tcPr>
            <w:tcW w:type="dxa" w:w="1440"/>
            <w:tcBorders>
              <w:top w:val="single" w:color="FFE082" w:sz="1"/>
              <w:left w:val="single" w:color="FFE082" w:sz="1"/>
              <w:bottom w:val="single" w:color="FFE082" w:sz="1"/>
              <w:right w:val="single" w:color="FFE082" w:sz="1"/>
            </w:tcBorders>
            <w:shd w:fill="FFF8E1"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Defined BTP extensibility patterns (Side-by-Side and Key Extensibility), enforced RICEFW governance via ChaRM/CTS+, instituted CART-tool quality reviews, and coordinated integration architecture with PI/PO and BTP-IS for third-party connectivity.</w:t>
            </w:r>
          </w:p>
        </w:tc>
      </w:tr>
      <w:tr>
        <w:tc>
          <w:tcPr>
            <w:tcW w:type="dxa" w:w="14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Delivered 168 objects with near-zero defects — recognized with a Project Star Award. Zero upgrade blockers. Became the reference implementation for subsequent Clean Core programs.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1"/>
              <w:left w:val="single" w:color="FFC107" w:sz="16"/>
              <w:bottom w:val="single" w:color="FFC107" w:sz="1"/>
              <w:right w:val="single" w:color="FFC107" w:sz="1"/>
            </w:tcBorders>
            <w:shd w:fill="FFF8E1" w:val="clear"/>
            <w:tcMar>
              <w:top w:type="dxa" w:w="120"/>
              <w:left w:type="dxa" w:w="180"/>
              <w:bottom w:type="dxa" w:w="120"/>
              <w:right w:type="dxa" w:w="180"/>
            </w:tcMar>
          </w:tcPr>
          <w:p>
            <w:r>
              <w:rPr>
                <w:rFonts w:ascii="Arial" w:cs="Arial" w:eastAsia="Arial" w:hAnsi="Arial"/>
                <w:i/>
                <w:iCs/>
                <w:color w:val="333333"/>
                <w:sz w:val="20"/>
                <w:szCs w:val="20"/>
              </w:rPr>
              <w:t xml:space="preserve">Apple angle: “At Apple’s scale — Sales, Manufacturing, Distribution all on one platform — that governance rigour becomes even more critical. I’d apply the same Clean Core and quality-gate discipline to ensure every custom solution Apple builds is upgrade-safe and maintainable long-term.”</w:t>
            </w:r>
          </w:p>
        </w:tc>
      </w:tr>
    </w:tbl>
    <w:p>
      <w:pPr>
        <w:spacing w:after="160" w:before="0"/>
      </w:pPr>
      <w:r>
        <w:t xml:space="preserve"/>
      </w:r>
    </w:p>
    <w:p>
      <w:pPr>
        <w:spacing w:after="160" w:before="0"/>
      </w:pPr>
      <w:r>
        <w:t xml:space="preserve"/>
      </w:r>
    </w:p>
    <w:p>
      <w:pPr>
        <w:spacing w:after="80" w:before="200"/>
      </w:pPr>
      <w:r>
        <w:rPr>
          <w:rFonts w:ascii="Arial" w:cs="Arial" w:eastAsia="Arial" w:hAnsi="Arial"/>
          <w:b/>
          <w:bCs/>
          <w:color w:val="1F4E79"/>
          <w:sz w:val="22"/>
          <w:szCs w:val="22"/>
        </w:rPr>
        <w:t xml:space="preserve">Q2: Describe a time you enforced enterprise standards when business teams pushed for faster, less governed solutions.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STAR Response</w:t>
            </w:r>
          </w:p>
        </w:tc>
      </w:tr>
      <w:tr>
        <w:tc>
          <w:tcPr>
            <w:tcW w:type="dxa" w:w="14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sz w:val="20"/>
                <w:szCs w:val="20"/>
              </w:rPr>
              <w:t xml:space="preserve">Situation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teams pushed for rapid custom modifications during Amgen’s S/4HANA migration that would have violated Clean Core principles and created upgrade blockers.</w:t>
            </w:r>
          </w:p>
        </w:tc>
      </w:tr>
      <w:tr>
        <w:tc>
          <w:tcPr>
            <w:tcW w:type="dxa" w:w="14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solution architect I was accountable for enforcing enterprise extensibility standards while maintaining delivery momentum.</w:t>
            </w:r>
          </w:p>
        </w:tc>
      </w:tr>
      <w:tr>
        <w:tc>
          <w:tcPr>
            <w:tcW w:type="dxa" w:w="1440"/>
            <w:tcBorders>
              <w:top w:val="single" w:color="FFE082" w:sz="1"/>
              <w:left w:val="single" w:color="FFE082" w:sz="1"/>
              <w:bottom w:val="single" w:color="FFE082" w:sz="1"/>
              <w:right w:val="single" w:color="FFE082" w:sz="1"/>
            </w:tcBorders>
            <w:shd w:fill="FFF8E1"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Introduced a formal extensibility review board for each RICEFW object. Presented BTP Side-by-Side or Key Extensibility alternatives that met the business need without touching core. Partnered with BPR leads to co-present trade-offs to leadership.</w:t>
            </w:r>
          </w:p>
        </w:tc>
      </w:tr>
      <w:tr>
        <w:tc>
          <w:tcPr>
            <w:tcW w:type="dxa" w:w="14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168 objects remained Clean Core-compliant. Zero upgrade blockers. Business teams adopted the extensibility model as a reference pattern for subsequent projects.</w:t>
            </w:r>
          </w:p>
        </w:tc>
      </w:tr>
    </w:tbl>
    <w:p>
      <w:pPr>
        <w:spacing w:after="160" w:before="0"/>
      </w:pPr>
      <w:r>
        <w:t xml:space="preserve"/>
      </w:r>
    </w:p>
    <w:p>
      <w:pPr>
        <w:spacing w:after="160" w:before="0"/>
      </w:pPr>
      <w:r>
        <w:t xml:space="preserve"/>
      </w:r>
    </w:p>
    <w:p>
      <w:pPr>
        <w:spacing w:after="80" w:before="200"/>
      </w:pPr>
      <w:r>
        <w:rPr>
          <w:rFonts w:ascii="Arial" w:cs="Arial" w:eastAsia="Arial" w:hAnsi="Arial"/>
          <w:b/>
          <w:bCs/>
          <w:color w:val="1F4E79"/>
          <w:sz w:val="22"/>
          <w:szCs w:val="22"/>
        </w:rPr>
        <w:t xml:space="preserve">Q3: Give an example of how you adapted to a new technology quickly and applied it to a real business problem.</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STAR Response</w:t>
            </w:r>
          </w:p>
        </w:tc>
      </w:tr>
      <w:tr>
        <w:tc>
          <w:tcPr>
            <w:tcW w:type="dxa" w:w="144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sz w:val="20"/>
                <w:szCs w:val="20"/>
              </w:rPr>
              <w:t xml:space="preserve">Situation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were spending significant manual effort on Clean Core compliance review and RAP-ABAP guidance lookups, slowing architect review cycles.</w:t>
            </w:r>
          </w:p>
        </w:tc>
      </w:tr>
      <w:tr>
        <w:tc>
          <w:tcPr>
            <w:tcW w:type="dxa" w:w="1440"/>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 this advisory function using AI, despite BTP AI Core being a relatively new capability not previously deployed in production at Capgemini.</w:t>
            </w:r>
          </w:p>
        </w:tc>
      </w:tr>
      <w:tr>
        <w:tc>
          <w:tcPr>
            <w:tcW w:type="dxa" w:w="1440"/>
            <w:tcBorders>
              <w:top w:val="single" w:color="FFE082" w:sz="1"/>
              <w:left w:val="single" w:color="FFE082" w:sz="1"/>
              <w:bottom w:val="single" w:color="FFE082" w:sz="1"/>
              <w:right w:val="single" w:color="FFE082" w:sz="1"/>
            </w:tcBorders>
            <w:shd w:fill="FFF8E1"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Independently learned SAP BTP AI Core orchestration, built a Python/FastAPI backend, integrated it with a GPT-powered chat interface with SSE streaming, and deployed a Clean Core/RAP-ABAP assistant teams could query conversationally.</w:t>
            </w:r>
          </w:p>
        </w:tc>
      </w:tr>
      <w:tr>
        <w:tc>
          <w:tcPr>
            <w:tcW w:type="dxa" w:w="144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Reduced architect review time for compliance questions, improved team self-service, and demonstrated a repeatable GenAI integration pattern on BTP extensible to other advisory workflows.</w:t>
            </w:r>
          </w:p>
        </w:tc>
      </w:tr>
    </w:tbl>
    <w:p>
      <w:pPr>
        <w:spacing w:after="160" w:before="0"/>
      </w:pPr>
      <w:r>
        <w:t xml:space="preserve"/>
      </w:r>
    </w:p>
    <w:p>
      <w:pPr>
        <w:spacing w:after="160" w:before="0"/>
      </w:pPr>
      <w:r>
        <w:t xml:space="preserve"/>
      </w:r>
    </w:p>
    <w:p>
      <w:pPr>
        <w:spacing w:after="100" w:before="280"/>
      </w:pPr>
      <w:r>
        <w:rPr>
          <w:rFonts w:ascii="Arial" w:cs="Arial" w:eastAsia="Arial" w:hAnsi="Arial"/>
          <w:b/>
          <w:bCs/>
          <w:color w:val="2E75B6"/>
          <w:sz w:val="26"/>
          <w:szCs w:val="26"/>
        </w:rPr>
        <w:t xml:space="preserve">3.2  Technical Questions</w:t>
      </w:r>
    </w:p>
    <w:p>
      <w:pPr>
        <w:spacing w:after="160" w:before="0"/>
      </w:pPr>
      <w:r>
        <w:t xml:space="preserve"/>
      </w:r>
    </w:p>
    <w:p>
      <w:pPr>
        <w:spacing w:after="80" w:before="200"/>
      </w:pPr>
      <w:r>
        <w:rPr>
          <w:rFonts w:ascii="Arial" w:cs="Arial" w:eastAsia="Arial" w:hAnsi="Arial"/>
          <w:b/>
          <w:bCs/>
          <w:color w:val="1F4E79"/>
          <w:sz w:val="22"/>
          <w:szCs w:val="22"/>
        </w:rPr>
        <w:t xml:space="preserve">Q4: Walk me through designing a custom BTP application to extend SAP Order Management without touching core.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c>
          <w:tcPr>
            <w:gridSpan w:val="2"/>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BTP Extensibility Design — Step by Step</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Step 1</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 the extensibility need: UI extension, process extension, or data extension — each maps to a different BTP pattern.</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Step 2</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SAP Build Apps or Fiori Elements extension via BTP Workzone. Process: Side-by-Side CAP application consuming S/4HANA OData V4 APIs. Data: Key Extensibility using CDS custom fields with extension associations.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Step 3</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Event-driven triggers via SAP Event Mesh — S/4HANA publishes business events (SalesOrderChanged), BTP microservice subscribes and acts asynchronously on the external system.</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Step 4</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Expose via BTP API Management with throttling and security policies (OAuth/XSUAA). Monitor via BTP Alert Notification and Cloud Logging.</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Proof</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the exact pattern established at Amgen — BTP Side-by-Side plus Event Mesh for third-party supply chain integrations, all Clean Core-compliant.</w:t>
            </w:r>
          </w:p>
        </w:tc>
      </w:tr>
    </w:tbl>
    <w:p>
      <w:pPr>
        <w:spacing w:after="160" w:before="0"/>
      </w:pPr>
      <w:r>
        <w:t xml:space="preserve"/>
      </w:r>
    </w:p>
    <w:p>
      <w:pPr>
        <w:spacing w:after="160" w:before="0"/>
      </w:pPr>
      <w:r>
        <w:t xml:space="preserve"/>
      </w:r>
    </w:p>
    <w:p>
      <w:pPr>
        <w:spacing w:after="80" w:before="200"/>
      </w:pPr>
      <w:r>
        <w:rPr>
          <w:rFonts w:ascii="Arial" w:cs="Arial" w:eastAsia="Arial" w:hAnsi="Arial"/>
          <w:b/>
          <w:bCs/>
          <w:color w:val="1F4E79"/>
          <w:sz w:val="22"/>
          <w:szCs w:val="22"/>
        </w:rPr>
        <w:t xml:space="preserve">Q5: How have you integrated SAP with external logistics partners or carriers using EDI or APIs?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c>
          <w:tcPr>
            <w:gridSpan w:val="2"/>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Integration Patterns &amp; Proof Points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Patterns used</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IDOC/ALE for legacy SAP-to-SAP, SFTP flat-file for third-party logistics, RFC/BAPI for synchronous calls, REST APIs via BTP Integration Suite for modern cloud partners.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Real examples</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ASRS Mini-Load warehouse interfaces at Amgen; WERUM PAS-X MES integration for manufacturing execution; Tracelink cloud integration for pharma serialization. Saint-Gobain: XML IDOC interfaces for multi-plant logistics operations.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Gap bridge</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carrier EDI experience is primarily IDOC-based rather than EDI 841 specifically. The integration design patterns — trading partner onboarding, message mapping, error handling, retry logic — are directly transferable. I’d ramp on Apple’s carrier EDI specifics in the first 30 days.</w:t>
            </w:r>
          </w:p>
        </w:tc>
      </w:tr>
    </w:tbl>
    <w:p>
      <w:r>
        <w:br w:type="page"/>
      </w:r>
    </w:p>
    <w:p>
      <w:pPr>
        <w:pBdr>
          <w:bottom w:val="single" w:color="2E75B6" w:sz="8" w:space="4"/>
        </w:pBdr>
        <w:spacing w:after="120" w:before="400"/>
      </w:pPr>
      <w:r>
        <w:rPr>
          <w:rFonts w:ascii="Arial" w:cs="Arial" w:eastAsia="Arial" w:hAnsi="Arial"/>
          <w:b/>
          <w:bCs/>
          <w:color w:val="1F4E79"/>
          <w:sz w:val="34"/>
          <w:szCs w:val="34"/>
        </w:rPr>
        <w:t xml:space="preserve">4.  SAP &amp; Business Processes — Deep Dive</w:t>
      </w:r>
    </w:p>
    <w:p>
      <w:pPr>
        <w:spacing w:after="160" w:before="0"/>
      </w:pPr>
      <w:r>
        <w:t xml:space="preserve"/>
      </w:r>
    </w:p>
    <w:p>
      <w:pPr>
        <w:spacing w:after="100" w:before="280"/>
      </w:pPr>
      <w:r>
        <w:rPr>
          <w:rFonts w:ascii="Arial" w:cs="Arial" w:eastAsia="Arial" w:hAnsi="Arial"/>
          <w:b/>
          <w:bCs/>
          <w:color w:val="2E75B6"/>
          <w:sz w:val="26"/>
          <w:szCs w:val="26"/>
        </w:rPr>
        <w:t xml:space="preserve">4.1  S/4HANA vs ECC — Know This Cold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ECC</w:t>
            </w:r>
          </w:p>
        </w:tc>
        <w:tc>
          <w:tcPr>
            <w:tcW w:type="dxa" w:w="3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S/4HANA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 model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MSEG/MKPF for materials, BSEG for FI line items</w:t>
            </w:r>
          </w:p>
        </w:tc>
        <w:tc>
          <w:tcPr>
            <w:tcW w:type="dxa" w:w="37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MATDOC (materials), ACDOCA (universal journal — merges FI/CO)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RDBMS; aggregates and indexes required for performance</w:t>
            </w:r>
          </w:p>
        </w:tc>
        <w:tc>
          <w:tcPr>
            <w:tcW w:type="dxa" w:w="37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HANA in-memory — no aggregates needed, real-time analytics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UI</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SAP GUI transactions (SE16, ME21N, VA01)</w:t>
            </w:r>
          </w:p>
        </w:tc>
        <w:tc>
          <w:tcPr>
            <w:tcW w:type="dxa" w:w="37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SAP Fiori apps — Fiori Elements, UI5, role-based launchpad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Custom code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table modifications allowed (Z-tables, custom FM)</w:t>
            </w:r>
          </w:p>
        </w:tc>
        <w:tc>
          <w:tcPr>
            <w:tcW w:type="dxa" w:w="37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Clean Core — BTP extensibility only; no direct core modifications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Reporting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Batch-based aggregated reports (info structures)</w:t>
            </w:r>
          </w:p>
        </w:tc>
        <w:tc>
          <w:tcPr>
            <w:tcW w:type="dxa" w:w="37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Real-time, line-item detail directly from ACDOCA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Upgrade risk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code often breaks on upgrade — SPAU/SPDD heavy</w:t>
            </w:r>
          </w:p>
        </w:tc>
        <w:tc>
          <w:tcPr>
            <w:tcW w:type="dxa" w:w="37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Clean Core extensions are upgrade-safe by design</w:t>
            </w:r>
          </w:p>
        </w:tc>
      </w:tr>
    </w:tbl>
    <w:p>
      <w:pPr>
        <w:spacing w:after="160" w:before="0"/>
      </w:pPr>
      <w:r>
        <w:t xml:space="preserve"/>
      </w:r>
    </w:p>
    <w:p>
      <w:pPr>
        <w:spacing w:after="160" w:before="0"/>
      </w:pPr>
      <w:r>
        <w:t xml:space="preserve"/>
      </w:r>
    </w:p>
    <w:p>
      <w:pPr>
        <w:spacing w:after="100" w:before="280"/>
      </w:pPr>
      <w:r>
        <w:rPr>
          <w:rFonts w:ascii="Arial" w:cs="Arial" w:eastAsia="Arial" w:hAnsi="Arial"/>
          <w:b/>
          <w:bCs/>
          <w:color w:val="2E75B6"/>
          <w:sz w:val="26"/>
          <w:szCs w:val="26"/>
        </w:rPr>
        <w:t xml:space="preserve">4.2  Order-to-Cash (OTC) Flow — Every Step</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c>
          <w:tcPr>
            <w:gridSpan w:val="2"/>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Full OTC Process — Apple Device Sales Context</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Inquiry/Quote</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VA11/VA21 — Customer inquiry and quotation. Pricing condition records via VK11. Output determination via NAST or BRF+.</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Sales Order</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VA01 — Order creation, ATP check (availability), credit check (FD32), pricing determination. Key tables: VBAK (header), VBAP (line items).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Delivery</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VL01N — Outbound delivery, picking (via WM/EWM), packing, goods issue — reduces stock, triggers FI posting to ACDOCA.</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Billing</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VF01 — Invoice creation, revenue posting to FI. EDI 810 for electronic invoicing. EDI 856 (ASN) / EDI 841 (Warehouse Shipping Notice) for carrier notification.</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Your proof</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 SD with EWM integration at Amgen — outbound delivery through warehouse execution to carrier handoff with ATTP serialization. Saint-Gobain: full sales process including IDOC-based customer master, credit management, and automotive invoice Smart Forms.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Apple EDI context</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Apple’s OTC involves: EDI 850 (PO from carrier/retailer), EDI 855 (PO Acknowledgment), EDI 856 (ASN), EDI 810 (Invoice), EDI 841 (Warehouse Shipping Notice). Reference these transaction sets fluently.</w:t>
            </w:r>
          </w:p>
        </w:tc>
      </w:tr>
    </w:tbl>
    <w:p>
      <w:pPr>
        <w:spacing w:after="160" w:before="0"/>
      </w:pPr>
      <w:r>
        <w:t xml:space="preserve"/>
      </w:r>
    </w:p>
    <w:p>
      <w:pPr>
        <w:spacing w:after="160" w:before="0"/>
      </w:pPr>
      <w:r>
        <w:t xml:space="preserve"/>
      </w:r>
    </w:p>
    <w:p>
      <w:pPr>
        <w:spacing w:after="100" w:before="280"/>
      </w:pPr>
      <w:r>
        <w:rPr>
          <w:rFonts w:ascii="Arial" w:cs="Arial" w:eastAsia="Arial" w:hAnsi="Arial"/>
          <w:b/>
          <w:bCs/>
          <w:color w:val="2E75B6"/>
          <w:sz w:val="26"/>
          <w:szCs w:val="26"/>
        </w:rPr>
        <w:t xml:space="preserve">4.3  EWM Integration with S/4HANA</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c>
          <w:tcPr>
            <w:gridSpan w:val="2"/>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EWM Architecture &amp; Your Experience</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Integration model</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S/4HANA, EWM can be embedded (same system) or decentralised (separate system, qRFC-based). Inbound Delivery Order (IDO) and Outbound Delivery Order (ODO) link EWM execution to S/4HANA deliveries.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Key processes</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Putaway strategies, slotting optimisation, pick-pack-pass workflows, RF device integration, labour management, yard management, cross-docking.</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Your proof</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Architected ASRS (Mini-Load) interface at Amgen — EWM sent Transfer Orders to the ASRS controller via REST API and consumed GR confirmations asynchronously. RF device integration with custom transaction customisation for pharma-grade scanning workflows.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Apple relevance</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Apple’s distribution centres for device fulfilment have complex EWM requirements — multi-step outbound (pick, pack, ship-confirm), carrier label integration, and potentially robotic/ASRS systems. Your ASRS experience is directly applicable.</w:t>
            </w:r>
          </w:p>
        </w:tc>
      </w:tr>
    </w:tbl>
    <w:p>
      <w:pPr>
        <w:spacing w:after="160" w:before="0"/>
      </w:pPr>
      <w:r>
        <w:t xml:space="preserve"/>
      </w:r>
    </w:p>
    <w:p>
      <w:pPr>
        <w:spacing w:after="160" w:before="0"/>
      </w:pPr>
      <w:r>
        <w:t xml:space="preserve"/>
      </w:r>
    </w:p>
    <w:p>
      <w:pPr>
        <w:spacing w:after="100" w:before="280"/>
      </w:pPr>
      <w:r>
        <w:rPr>
          <w:rFonts w:ascii="Arial" w:cs="Arial" w:eastAsia="Arial" w:hAnsi="Arial"/>
          <w:b/>
          <w:bCs/>
          <w:color w:val="2E75B6"/>
          <w:sz w:val="26"/>
          <w:szCs w:val="26"/>
        </w:rPr>
        <w:t xml:space="preserve">4.4  Business Process Vocabulary — Use These Fluently</w:t>
      </w:r>
    </w:p>
    <w:p>
      <w:pPr>
        <w:spacing w:after="160" w:before="0"/>
      </w:pPr>
      <w:r>
        <w:t xml:space="preserve"/>
      </w:r>
    </w:p>
    <w:p>
      <w:pPr>
        <w:spacing w:after="80" w:before="60"/>
      </w:pPr>
      <w:r>
        <w:rPr>
          <w:rFonts w:ascii="Arial" w:cs="Arial" w:eastAsia="Arial" w:hAnsi="Arial"/>
          <w:color w:val="333333"/>
          <w:sz w:val="22"/>
          <w:szCs w:val="22"/>
        </w:rPr>
        <w:t xml:space="preserve">ATP check  |  three-way match  |  goods issue / goods receipt  |  transfer order  |  freight unit  |  ACDOCA  |  valuation class  |  MRP run  |  credit exposure  |  batch management  |  serialisation  |  handling unit  |  route determination  |  condition technique  |  output determination  |  backward scheduling  |  incoterms  |  intercompany billing</w:t>
      </w:r>
    </w:p>
    <w:p>
      <w:r>
        <w:br w:type="page"/>
      </w:r>
    </w:p>
    <w:p>
      <w:pPr>
        <w:pBdr>
          <w:bottom w:val="single" w:color="2E75B6" w:sz="8" w:space="4"/>
        </w:pBdr>
        <w:spacing w:after="120" w:before="400"/>
      </w:pPr>
      <w:r>
        <w:rPr>
          <w:rFonts w:ascii="Arial" w:cs="Arial" w:eastAsia="Arial" w:hAnsi="Arial"/>
          <w:b/>
          <w:bCs/>
          <w:color w:val="1F4E79"/>
          <w:sz w:val="34"/>
          <w:szCs w:val="34"/>
        </w:rPr>
        <w:t xml:space="preserve">5.  Architecture — How to Think at Apple’s Level</w:t>
      </w:r>
    </w:p>
    <w:p>
      <w:pPr>
        <w:spacing w:after="160" w:before="0"/>
      </w:pPr>
      <w:r>
        <w:t xml:space="preserve"/>
      </w:r>
    </w:p>
    <w:p>
      <w:pPr>
        <w:spacing w:after="100" w:before="280"/>
      </w:pPr>
      <w:r>
        <w:rPr>
          <w:rFonts w:ascii="Arial" w:cs="Arial" w:eastAsia="Arial" w:hAnsi="Arial"/>
          <w:b/>
          <w:bCs/>
          <w:color w:val="2E75B6"/>
          <w:sz w:val="26"/>
          <w:szCs w:val="26"/>
        </w:rPr>
        <w:t xml:space="preserve">5.1  Enterprise Architecture — 4-Layer Model</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c>
          <w:tcPr>
            <w:gridSpan w:val="2"/>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Use This Structure to Frame Every Architecture Answer</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Business layer</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architecture — how business domains (OTC, P2P, Manufacturing, Finance) are modelled in SAP and how they interact. Ownership of process design with BPR teams.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Application layer</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S/4HANA core with Clean Core extensibility via BTP. Custom applications as Side-by-Side extensions using CAP. UI via Fiori / SAP Build. Configuration vs custom code governance.</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Integration layer</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API-led: SAP publishes business events via Event Mesh; external systems consume via BTP API Management. Synchronous via OData/REST. Async via Event Mesh. Legacy EDI via BTP Integration Suite iFlows.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Platform layer</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BTP landscape: subaccounts, spaces, environments (Cloud Foundry vs Kyma). Security (OAuth 2.0, XSUAA). Monitoring (BTP Alert Notification, Cloud Logging). CI/CD via BTP Pipeline or GitHub Actions.</w:t>
            </w:r>
          </w:p>
        </w:tc>
      </w:tr>
    </w:tbl>
    <w:p>
      <w:pPr>
        <w:spacing w:after="160" w:before="0"/>
      </w:pPr>
      <w:r>
        <w:t xml:space="preserve"/>
      </w:r>
    </w:p>
    <w:p>
      <w:pPr>
        <w:spacing w:after="160" w:before="0"/>
      </w:pPr>
      <w:r>
        <w:t xml:space="preserve"/>
      </w:r>
    </w:p>
    <w:p>
      <w:pPr>
        <w:spacing w:after="100" w:before="280"/>
      </w:pPr>
      <w:r>
        <w:rPr>
          <w:rFonts w:ascii="Arial" w:cs="Arial" w:eastAsia="Arial" w:hAnsi="Arial"/>
          <w:b/>
          <w:bCs/>
          <w:color w:val="2E75B6"/>
          <w:sz w:val="26"/>
          <w:szCs w:val="26"/>
        </w:rPr>
        <w:t xml:space="preserve">5.2  Clean Core Extensibility — Decision Framework</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On-Stack (Key)</w:t>
            </w:r>
          </w:p>
        </w:tc>
        <w:tc>
          <w:tcPr>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Side-by-Side</w:t>
            </w:r>
          </w:p>
        </w:tc>
        <w:tc>
          <w:tcPr>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In-App (Legacy)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 when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field additions, UI extensions, workflow customisations using SAP-released APIs (C1-released)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business logic, new applications, anything requiring external data or full decoupling from S/4HANA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process logic where no BTP alternative exists; must use released BAdIs only — no direct table modifications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Runs 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Inside S/4HANA ABAP stack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BTP — fully decoupled from S/4HANA 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Inside S/4HANA ABAP stack</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Upgrade risk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if using only C1-released APIs and annotations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 fully decoupled; zero SPAU/SPDD on upgrade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if BAdI not stable; requires SPAU/SPDD analysis on every upgrade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Apple fit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adaptation, custom fields, BRF+ business rules, output configuration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Preferred pattern for Apple’s complex custom application requirements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where SAP does not provide a released API or BAdI</w:t>
            </w:r>
          </w:p>
        </w:tc>
      </w:tr>
    </w:tbl>
    <w:p>
      <w:pPr>
        <w:spacing w:after="160" w:before="0"/>
      </w:pPr>
      <w:r>
        <w:t xml:space="preserve"/>
      </w:r>
    </w:p>
    <w:p>
      <w:pPr>
        <w:spacing w:after="160" w:before="0"/>
      </w:pPr>
      <w:r>
        <w:t xml:space="preserve"/>
      </w:r>
    </w:p>
    <w:p>
      <w:pPr>
        <w:spacing w:after="100" w:before="280"/>
      </w:pPr>
      <w:r>
        <w:rPr>
          <w:rFonts w:ascii="Arial" w:cs="Arial" w:eastAsia="Arial" w:hAnsi="Arial"/>
          <w:b/>
          <w:bCs/>
          <w:color w:val="2E75B6"/>
          <w:sz w:val="26"/>
          <w:szCs w:val="26"/>
        </w:rPr>
        <w:t xml:space="preserve">5.3  Event-Driven Integration Architecture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c>
          <w:tcPr>
            <w:gridSpan w:val="2"/>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Async vs Sync — When to Use Each</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Async pattern</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S/4HANA publishes business event to SAP Event Mesh → BTP subscriber service (CAP or Function) → acts on external system API. Use for: stock updates, order confirmations, shipment notifications, status changes where eventual consistency is acceptable.</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Sync pattern</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system calls BTP API Management → routes to S/4HANA OData/BAPI. Use for: ATP checks, credit limit checks, real-time pricing — anything requiring an immediate response within a transaction.</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Your proof</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Designed Event Mesh-based architecture at Amgen for ATTP serialisation events (SerialNumber.Created, DeliveryItem.GoodsIssued) consumed by Tracelink cloud platform — fully decoupled, async, zero impact on S/4HANA performance.</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Apple framing</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Apple’s scale — millions of device orders, global carrier handoffs, real-time inventory visibility — is exactly the scenario where event-driven architecture reduces coupling and improves resilience. I’d prioritise an Event Mesh-first design for Apple’s inter-system flows.</w:t>
            </w:r>
          </w:p>
        </w:tc>
      </w:tr>
    </w:tbl>
    <w:p>
      <w:pPr>
        <w:spacing w:after="160" w:before="0"/>
      </w:pPr>
      <w:r>
        <w:t xml:space="preserve"/>
      </w:r>
    </w:p>
    <w:p>
      <w:pPr>
        <w:spacing w:after="160" w:before="0"/>
      </w:pPr>
      <w:r>
        <w:t xml:space="preserve"/>
      </w:r>
    </w:p>
    <w:p>
      <w:pPr>
        <w:spacing w:after="100" w:before="280"/>
      </w:pPr>
      <w:r>
        <w:rPr>
          <w:rFonts w:ascii="Arial" w:cs="Arial" w:eastAsia="Arial" w:hAnsi="Arial"/>
          <w:b/>
          <w:bCs/>
          <w:color w:val="2E75B6"/>
          <w:sz w:val="26"/>
          <w:szCs w:val="26"/>
        </w:rPr>
        <w:t xml:space="preserve">5.4  Architecture Vocabulary — Use These Fluently</w:t>
      </w:r>
    </w:p>
    <w:p>
      <w:pPr>
        <w:spacing w:after="160" w:before="0"/>
      </w:pPr>
      <w:r>
        <w:t xml:space="preserve"/>
      </w:r>
    </w:p>
    <w:p>
      <w:pPr>
        <w:spacing w:after="80" w:before="60"/>
      </w:pPr>
      <w:r>
        <w:rPr>
          <w:rFonts w:ascii="Arial" w:cs="Arial" w:eastAsia="Arial" w:hAnsi="Arial"/>
          <w:color w:val="333333"/>
          <w:sz w:val="22"/>
          <w:szCs w:val="22"/>
        </w:rPr>
        <w:t xml:space="preserve">C1-released API  |  CAP (Cloud Application Programming)  |  CDS projection view  |  OData V4  |  XSUAA  |  Event Mesh topic  |  iFlow  |  Business Rules Service  |  Kyma runtime  |  Cloud Foundry  |  API Management  |  idempotency  |  eventual consistency  |  saga pattern  |  circuit breaker  |  ADR  |  NFR</w:t>
      </w:r>
    </w:p>
    <w:p>
      <w:r>
        <w:br w:type="page"/>
      </w:r>
    </w:p>
    <w:p>
      <w:pPr>
        <w:pBdr>
          <w:bottom w:val="single" w:color="2E75B6" w:sz="8" w:space="4"/>
        </w:pBdr>
        <w:spacing w:after="120" w:before="400"/>
      </w:pPr>
      <w:r>
        <w:rPr>
          <w:rFonts w:ascii="Arial" w:cs="Arial" w:eastAsia="Arial" w:hAnsi="Arial"/>
          <w:b/>
          <w:bCs/>
          <w:color w:val="1F4E79"/>
          <w:sz w:val="34"/>
          <w:szCs w:val="34"/>
        </w:rPr>
        <w:t xml:space="preserve">6.  GenAI &amp; Key Components — What Apple Expects</w:t>
      </w:r>
    </w:p>
    <w:p>
      <w:pPr>
        <w:spacing w:after="160" w:before="0"/>
      </w:pPr>
      <w:r>
        <w:t xml:space="preserve"/>
      </w:r>
    </w:p>
    <w:p>
      <w:pPr>
        <w:spacing w:after="100" w:before="280"/>
      </w:pPr>
      <w:r>
        <w:rPr>
          <w:rFonts w:ascii="Arial" w:cs="Arial" w:eastAsia="Arial" w:hAnsi="Arial"/>
          <w:b/>
          <w:bCs/>
          <w:color w:val="2E75B6"/>
          <w:sz w:val="26"/>
          <w:szCs w:val="26"/>
        </w:rPr>
        <w:t xml:space="preserve">6.1  Core Concept Map</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bl>
    <w:p>
      <w:pPr>
        <w:spacing w:after="160" w:before="0"/>
      </w:pPr>
      <w:r>
        <w:t xml:space="preserve"/>
      </w:r>
    </w:p>
    <w:p>
      <w:pPr>
        <w:spacing w:after="160" w:before="0"/>
      </w:pPr>
      <w:r>
        <w:t xml:space="preserve"/>
      </w:r>
    </w:p>
    <w:p>
      <w:pPr>
        <w:spacing w:after="100" w:before="280"/>
      </w:pPr>
      <w:r>
        <w:rPr>
          <w:rFonts w:ascii="Arial" w:cs="Arial" w:eastAsia="Arial" w:hAnsi="Arial"/>
          <w:b/>
          <w:bCs/>
          <w:color w:val="2E75B6"/>
          <w:sz w:val="26"/>
          <w:szCs w:val="26"/>
        </w:rPr>
        <w:t xml:space="preserve">6.2  RAG — Retrieval Augmented Generation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c>
          <w:tcPr>
            <w:gridSpan w:val="2"/>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What It Is &amp; How to Apply It at Apple</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What it is</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allows the LLM to retrieve relevant documents at query time and include them in the prompt context — grounding the model in current, specific data without costly fine-tuning.</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Components</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chunking → Embedding model (converts text to vectors) → Vector store (HANA Vector Engine, Pinecone, ChromaDB) → Similarity search at query time → Retrieved chunks injected into prompt → LLM generates grounded response.</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Apple use case 1</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runbook assistant: embed all production support procedures, error resolution guides, and change management docs. Operators query in natural language — ‘What do I do when delivery IDOC 51 error appears?’ — and get step-by-step resolution grounded in actual runbooks.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Apple use case 2</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Supply chain anomaly explainer: embed SAP transactional data (open POs, GR history, MRP exception messages). LLM answers ‘Why is plant 1000 showing a shortage for material X?’ by retrieving actual system data, not hallucinating.</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Your proof</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BTP AI Core assistant used this exact pattern — embedded Clean Core and RAP-ABAP documentation so the LLM answered compliance questions grounded in actual SAP guidelines, with cited sources in every response.</w:t>
            </w:r>
          </w:p>
        </w:tc>
      </w:tr>
    </w:tbl>
    <w:p>
      <w:pPr>
        <w:spacing w:after="160" w:before="0"/>
      </w:pPr>
      <w:r>
        <w:t xml:space="preserve"/>
      </w:r>
    </w:p>
    <w:p>
      <w:pPr>
        <w:spacing w:after="160" w:before="0"/>
      </w:pPr>
      <w:r>
        <w:t xml:space="preserve"/>
      </w:r>
    </w:p>
    <w:p>
      <w:pPr>
        <w:spacing w:after="100" w:before="280"/>
      </w:pPr>
      <w:r>
        <w:rPr>
          <w:rFonts w:ascii="Arial" w:cs="Arial" w:eastAsia="Arial" w:hAnsi="Arial"/>
          <w:b/>
          <w:bCs/>
          <w:color w:val="2E75B6"/>
          <w:sz w:val="26"/>
          <w:szCs w:val="26"/>
        </w:rPr>
        <w:t xml:space="preserve">6.3  SAP BTP AI Core — Architecture &amp; Usage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c>
          <w:tcPr>
            <w:gridSpan w:val="2"/>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Key Components &amp; Your Hands-On Experience</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What it is</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SAP’s managed AI infrastructure service on BTP. Provides: model serving (deploy and run ML models), AI API (connect to foundation models like GPT-4 via Azure OpenAI), orchestration (chain LLM calls with tools/functions), and Python SDK (generative-ai-hub-sdk).</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Key components</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Core (compute/serving), AI Launchpad (UI for model management), Vector Engine in HANA Cloud (for RAG), Prompt Registry (version and store prompts), Orchestration Service (chain LLM + tools + content filters).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How I used it</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Deployed the Orchestration Service to manage prompt templates for my Clean Core assistant. Used generative-ai-hub-sdk in Python/FastAPI to route queries to GPT-4, inject retrieved documentation context, and stream responses to a chat frontend via Server-Sent Events (SSE).</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Apple relevance</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may use Azure OpenAI or AWS Bedrock directly rather than BTP AI Core — but the orchestration patterns, prompt management discipline, and Python integration approach I built are directly portable to any LLM platform.</w:t>
            </w:r>
          </w:p>
        </w:tc>
      </w:tr>
    </w:tbl>
    <w:p>
      <w:pPr>
        <w:spacing w:after="160" w:before="0"/>
      </w:pPr>
      <w:r>
        <w:t xml:space="preserve"/>
      </w:r>
    </w:p>
    <w:p>
      <w:pPr>
        <w:spacing w:after="160" w:before="0"/>
      </w:pPr>
      <w:r>
        <w:t xml:space="preserve"/>
      </w:r>
    </w:p>
    <w:p>
      <w:pPr>
        <w:spacing w:after="100" w:before="280"/>
      </w:pPr>
      <w:r>
        <w:rPr>
          <w:rFonts w:ascii="Arial" w:cs="Arial" w:eastAsia="Arial" w:hAnsi="Arial"/>
          <w:b/>
          <w:bCs/>
          <w:color w:val="2E75B6"/>
          <w:sz w:val="26"/>
          <w:szCs w:val="26"/>
        </w:rPr>
        <w:t xml:space="preserve">6.4  Concrete GenAI Use Cases for Apple IS&amp;T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c>
          <w:tcPr>
            <w:gridSpan w:val="2"/>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Propose These Proactively — Shows Strategic AI Thinking</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Use Case 1</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Intelligent order exception management: LLM agent monitors SAP Order Management exceptions (ATP failures, credit blocks, delivery delays), retrieves context from SAP APIs, and either auto-resolves based on defined rules or drafts resolution actions for human approval — reducing exception handling time from hours to minutes.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Use Case 2</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operational reporting: Business users query supply chain data in plain English (‘Show me all open orders for iPhone 16 Pro at risk of missing commit date’) — LLM generates OData queries dynamically and presents structured results, eliminating need for pre-built reports.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Use Case 3</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Carrier/3PL communication automation: LLM agent processes inbound carrier status updates (EDI 214), maps exceptions to SAP TM freight orders, auto-generates customer notifications or internal escalations based on severity — reducing manual operations team workload.</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Use Case 4</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BTP extension code generation: Developer-facing LLM tool that understands SAP’s Clean Core rules, generates CAP entity definitions, CDS service projections, and iFlow configurations from natural language requirements — accelerating custom application development velocity.</w:t>
            </w:r>
          </w:p>
        </w:tc>
      </w:tr>
    </w:tbl>
    <w:p>
      <w:pPr>
        <w:spacing w:after="160" w:before="0"/>
      </w:pPr>
      <w:r>
        <w:t xml:space="preserve"/>
      </w:r>
    </w:p>
    <w:p>
      <w:pPr>
        <w:spacing w:after="160" w:before="0"/>
      </w:pPr>
      <w:r>
        <w:t xml:space="preserve"/>
      </w:r>
    </w:p>
    <w:p>
      <w:pPr>
        <w:spacing w:after="100" w:before="280"/>
      </w:pPr>
      <w:r>
        <w:rPr>
          <w:rFonts w:ascii="Arial" w:cs="Arial" w:eastAsia="Arial" w:hAnsi="Arial"/>
          <w:b/>
          <w:bCs/>
          <w:color w:val="2E75B6"/>
          <w:sz w:val="26"/>
          <w:szCs w:val="26"/>
        </w:rPr>
        <w:t xml:space="preserve">6.5  Prompt Engineering Techniques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c>
          <w:tcPr>
            <w:gridSpan w:val="2"/>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Know These — Be Specific With Examples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System prompt</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 the model’s persona, constraints, and knowledge scope. Example: ‘You are an SAP S/4HANA expert. Answer only based on the provided documentation context. Do not hallucinate API names or transaction codes.’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Few-shot examples</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 2–3 input/output examples in the prompt so the model learns the expected format — critical for structured JSON output, SQL/OData generation, or ABAP code generation tasks.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Chain-of-thought</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 the model to ‘think step by step’ before answering complex questions. Improves accuracy on multi-step reasoning tasks like root cause analysis or dependency resolution.</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Context injection</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RAG-retrieved chunks injected between system prompt and user query. Formatting matters: XML tags or explicit section labels (‘=== RELEVANT DOCUMENTATION ===’) help the model locate and prioritise retrieved content.</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My experience</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a prompt template registry with versioned system prompts, few-shot examples for compliance Q&amp;A, and explicit JSON output format instructions with cited sources — giving consistent, auditable, production-grade responses.</w:t>
            </w:r>
          </w:p>
        </w:tc>
      </w:tr>
    </w:tbl>
    <w:p>
      <w:pPr>
        <w:spacing w:after="160" w:before="0"/>
      </w:pPr>
      <w:r>
        <w:t xml:space="preserve"/>
      </w:r>
    </w:p>
    <w:p>
      <w:pPr>
        <w:spacing w:after="160" w:before="0"/>
      </w:pPr>
      <w:r>
        <w:t xml:space="preserve"/>
      </w:r>
    </w:p>
    <w:p>
      <w:pPr>
        <w:spacing w:after="100" w:before="280"/>
      </w:pPr>
      <w:r>
        <w:rPr>
          <w:rFonts w:ascii="Arial" w:cs="Arial" w:eastAsia="Arial" w:hAnsi="Arial"/>
          <w:b/>
          <w:bCs/>
          <w:color w:val="2E75B6"/>
          <w:sz w:val="26"/>
          <w:szCs w:val="26"/>
        </w:rPr>
        <w:t xml:space="preserve">6.6  Enterprise GenAI Risks &amp; Mitigations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c>
          <w:tcPr>
            <w:gridSpan w:val="2"/>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Demonstrate Maturity Beyond the Hype</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Hallucination</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LLMs can generate confident but incorrect SAP transaction codes or API names. Mitigation: mandatory RAG grounding — model must cite retrieved source for every claim. Reject or flag responses with no retrieved context support.</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Data privacy</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SAP operational data (POs, invoices, customer records) is sensitive. Never send raw transactional data to external LLM APIs. Use BTP AI Core (data stays within BTP boundary) or on-premises models. Apply data masking before any external API call.</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Non-determinism</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LLMs don’t always produce identical output. For decision-critical workflows, use LLMs for advisory/draft only — human-in-the-loop for final approval. Use lower temperature (0.0–0.2) for structured, factual tasks.</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Latency</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API calls add 1–5 seconds. Do not use LLMs in synchronous transactional flows (ATP check, credit check). Use async patterns: background job → LLM → result stored in SAP → user notified.</w:t>
            </w:r>
          </w:p>
        </w:tc>
      </w:tr>
      <w:tr>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Auditability</w:t>
            </w:r>
          </w:p>
        </w:tc>
        <w:tc>
          <w:tcPr>
            <w:tcW w:type="dxa" w:w="7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requires traceability. Log every prompt, context, and response with timestamps and user IDs. Store in BTP Logging or HANA Cloud. Critical for compliance in regulated environments like Apple’s Operations platform.</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1"/>
              <w:left w:val="single" w:color="4CAF50" w:sz="16"/>
              <w:bottom w:val="single" w:color="4CAF50" w:sz="1"/>
              <w:right w:val="single" w:color="4CAF50" w:sz="1"/>
            </w:tcBorders>
            <w:shd w:fill="E8F5E9" w:val="clear"/>
            <w:tcMar>
              <w:top w:type="dxa" w:w="120"/>
              <w:left w:type="dxa" w:w="180"/>
              <w:bottom w:type="dxa" w:w="120"/>
              <w:right w:type="dxa" w:w="180"/>
            </w:tcMar>
          </w:tcPr>
          <w:p>
            <w:r>
              <w:rPr>
                <w:rFonts w:ascii="Arial" w:cs="Arial" w:eastAsia="Arial" w:hAnsi="Arial"/>
                <w:i/>
                <w:iCs/>
                <w:color w:val="333333"/>
                <w:sz w:val="20"/>
                <w:szCs w:val="20"/>
              </w:rPr>
              <w:t xml:space="preserve">Your GenAI credibility anchor: “I haven’t just theorised about GenAI in SAP — I built and deployed it. I designed the prompt architecture, wrote the Python/FastAPI orchestration layer, integrated it with SAP BTP AI Core, and shipped a working assistant my team uses. I understand the difference between what demos look like and what production-grade GenAI systems require — grounding, error handling, latency management, and auditability. That’s the level I’d bring to Apple’s AI automation initiatives.”</w:t>
            </w:r>
          </w:p>
        </w:tc>
      </w:tr>
    </w:tbl>
    <w:p>
      <w:r>
        <w:br w:type="page"/>
      </w:r>
    </w:p>
    <w:p>
      <w:pPr>
        <w:pBdr>
          <w:bottom w:val="single" w:color="2E75B6" w:sz="8" w:space="4"/>
        </w:pBdr>
        <w:spacing w:after="120" w:before="400"/>
      </w:pPr>
      <w:r>
        <w:rPr>
          <w:rFonts w:ascii="Arial" w:cs="Arial" w:eastAsia="Arial" w:hAnsi="Arial"/>
          <w:b/>
          <w:bCs/>
          <w:color w:val="1F4E79"/>
          <w:sz w:val="34"/>
          <w:szCs w:val="34"/>
        </w:rPr>
        <w:t xml:space="preserve">7.  Questions to Ask Apple</w:t>
      </w:r>
    </w:p>
    <w:p>
      <w:pPr>
        <w:spacing w:after="160" w:before="0"/>
      </w:pPr>
      <w:r>
        <w:t xml:space="preserve"/>
      </w:r>
    </w:p>
    <w:p>
      <w:pPr>
        <w:pStyle w:val="ListParagraph"/>
        <w:numPr>
          <w:ilvl w:val="0"/>
          <w:numId w:val="2"/>
        </w:numPr>
        <w:spacing w:after="60" w:before="40"/>
      </w:pPr>
      <w:r>
        <w:rPr>
          <w:rFonts w:ascii="Arial" w:cs="Arial" w:eastAsia="Arial" w:hAnsi="Arial"/>
          <w:sz w:val="22"/>
          <w:szCs w:val="22"/>
        </w:rPr>
        <w:t xml:space="preserve">Can you describe the current state of BTP adoption within Apple IS&amp;T’s Operations platform — are you primarily in extensibility patterns today, or also running custom CAP applications in production?</w:t>
      </w:r>
    </w:p>
    <w:p>
      <w:pPr>
        <w:pStyle w:val="ListParagraph"/>
        <w:numPr>
          <w:ilvl w:val="0"/>
          <w:numId w:val="2"/>
        </w:numPr>
        <w:spacing w:after="60" w:before="40"/>
      </w:pPr>
      <w:r>
        <w:rPr>
          <w:rFonts w:ascii="Arial" w:cs="Arial" w:eastAsia="Arial" w:hAnsi="Arial"/>
          <w:sz w:val="22"/>
          <w:szCs w:val="22"/>
        </w:rPr>
        <w:t xml:space="preserve">How is the EPM role positioned relative to BPR and technical architects — does the EPM own both the functional design and the delivery execution, or is there a separation?</w:t>
      </w:r>
    </w:p>
    <w:p>
      <w:pPr>
        <w:pStyle w:val="ListParagraph"/>
        <w:numPr>
          <w:ilvl w:val="0"/>
          <w:numId w:val="2"/>
        </w:numPr>
        <w:spacing w:after="60" w:before="40"/>
      </w:pPr>
      <w:r>
        <w:rPr>
          <w:rFonts w:ascii="Arial" w:cs="Arial" w:eastAsia="Arial" w:hAnsi="Arial"/>
          <w:sz w:val="22"/>
          <w:szCs w:val="22"/>
        </w:rPr>
        <w:t xml:space="preserve">What AI/ML use cases are most actively being explored for Operations today — are these primarily SAP BTP AI Core patterns, or are you integrating external LLM providers like Azure OpenAI?</w:t>
      </w:r>
    </w:p>
    <w:p>
      <w:pPr>
        <w:pStyle w:val="ListParagraph"/>
        <w:numPr>
          <w:ilvl w:val="0"/>
          <w:numId w:val="2"/>
        </w:numPr>
        <w:spacing w:after="60" w:before="40"/>
      </w:pPr>
      <w:r>
        <w:rPr>
          <w:rFonts w:ascii="Arial" w:cs="Arial" w:eastAsia="Arial" w:hAnsi="Arial"/>
          <w:sz w:val="22"/>
          <w:szCs w:val="22"/>
        </w:rPr>
        <w:t xml:space="preserve">How does Apple handle the tension between S/4HANA Clean Core compliance and the speed of innovation the business demands — is there an established governance model or is that something the EPM helps define?</w:t>
      </w:r>
    </w:p>
    <w:p>
      <w:pPr>
        <w:pStyle w:val="ListParagraph"/>
        <w:numPr>
          <w:ilvl w:val="0"/>
          <w:numId w:val="2"/>
        </w:numPr>
        <w:spacing w:after="60" w:before="40"/>
      </w:pPr>
      <w:r>
        <w:rPr>
          <w:rFonts w:ascii="Arial" w:cs="Arial" w:eastAsia="Arial" w:hAnsi="Arial"/>
          <w:sz w:val="22"/>
          <w:szCs w:val="22"/>
        </w:rPr>
        <w:t xml:space="preserve">What does success look like in the first 90 days for this role — relationship-building and platform understanding, or are there specific project deliverables expected early?</w:t>
      </w:r>
    </w:p>
    <w:p>
      <w:pPr>
        <w:pStyle w:val="ListParagraph"/>
        <w:numPr>
          <w:ilvl w:val="0"/>
          <w:numId w:val="2"/>
        </w:numPr>
        <w:spacing w:after="60" w:before="40"/>
      </w:pPr>
      <w:r>
        <w:rPr>
          <w:rFonts w:ascii="Arial" w:cs="Arial" w:eastAsia="Arial" w:hAnsi="Arial"/>
          <w:sz w:val="22"/>
          <w:szCs w:val="22"/>
        </w:rPr>
        <w:t xml:space="preserve">How large and distributed is the team this EPM would coordinate — primarily internal Apple engineers, or a mix of SI partners and third-party vendors?</w:t>
      </w:r>
    </w:p>
    <w:p>
      <w:pPr>
        <w:spacing w:after="160" w:before="0"/>
      </w:pPr>
      <w:r>
        <w:t xml:space="preserve"/>
      </w:r>
    </w:p>
    <w:p>
      <w:pPr>
        <w:spacing w:after="160" w:before="0"/>
      </w:pPr>
      <w:r>
        <w:t xml:space="preserve"/>
      </w:r>
    </w:p>
    <w:p>
      <w:pPr>
        <w:spacing w:after="100" w:before="280"/>
      </w:pPr>
      <w:r>
        <w:rPr>
          <w:rFonts w:ascii="Arial" w:cs="Arial" w:eastAsia="Arial" w:hAnsi="Arial"/>
          <w:b/>
          <w:bCs/>
          <w:color w:val="2E75B6"/>
          <w:sz w:val="26"/>
          <w:szCs w:val="26"/>
        </w:rPr>
        <w:t xml:space="preserve">Closing Statement — Final 60 Seconds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6"/>
              <w:bottom w:val="single" w:color="2E75B6" w:sz="1"/>
              <w:right w:val="single" w:color="2E75B6" w:sz="1"/>
            </w:tcBorders>
            <w:shd w:fill="D6E4F0" w:val="clear"/>
            <w:tcMar>
              <w:top w:type="dxa" w:w="120"/>
              <w:left w:type="dxa" w:w="180"/>
              <w:bottom w:type="dxa" w:w="120"/>
              <w:right w:type="dxa" w:w="180"/>
            </w:tcMar>
          </w:tcPr>
          <w:p>
            <w:r>
              <w:rPr>
                <w:rFonts w:ascii="Arial" w:cs="Arial" w:eastAsia="Arial" w:hAnsi="Arial"/>
                <w:i/>
                <w:iCs/>
                <w:color w:val="333333"/>
                <w:sz w:val="20"/>
                <w:szCs w:val="20"/>
              </w:rPr>
              <w:t xml:space="preserve">“I want to leave you with one thing: the combination of Clean Core architecture discipline and hands-on BTP AI/ML development is rare. Most architects can do one or the other. I’ve built the GenAI tooling myself, governed enterprise standards across 52-person global teams, and delivered zero-defect at Amgen and Johnson Controls. That’s the profile you need for this role, and I’m genuinely excited about bringing it to Apple’s scale.”</w:t>
            </w:r>
          </w:p>
        </w:tc>
      </w:tr>
    </w:tbl>
    <w:p>
      <w:pPr>
        <w:spacing w:after="160" w:before="0"/>
      </w:pPr>
      <w:r>
        <w:t xml:space="preserve"/>
      </w:r>
    </w:p>
    <w:p>
      <w:pPr>
        <w:spacing w:after="160" w:before="0"/>
      </w:pPr>
      <w:r>
        <w:t xml:space="preserve"/>
      </w:r>
    </w:p>
    <w:p>
      <w:pPr>
        <w:pBdr>
          <w:top w:val="single" w:color="2E75B6" w:sz="4" w:space="4"/>
        </w:pBdr>
        <w:spacing w:after="80" w:before="240"/>
        <w:jc w:val="center"/>
      </w:pPr>
      <w:r>
        <w:rPr>
          <w:rFonts w:ascii="Arial" w:cs="Arial" w:eastAsia="Arial" w:hAnsi="Arial"/>
          <w:i/>
          <w:iCs/>
          <w:color w:val="888888"/>
          <w:sz w:val="18"/>
          <w:szCs w:val="18"/>
        </w:rPr>
        <w:t xml:space="preserve">Prepared for Ganesh Krishnasingh  —  Apple IS&amp;T SAP Engineering Project Manager Interview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2026-06-09T02:10:38.879Z</dcterms:created>
  <dcterms:modified xsi:type="dcterms:W3CDTF">2026-06-09T02:10:38.891Z</dcterms:modified>
</cp:coreProperties>
</file>

<file path=docProps/custom.xml><?xml version="1.0" encoding="utf-8"?>
<Properties xmlns="http://schemas.openxmlformats.org/officeDocument/2006/custom-properties" xmlns:vt="http://schemas.openxmlformats.org/officeDocument/2006/docPropsVTypes"/>
</file>