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36"/>
          <w:szCs w:val="36"/>
        </w:rPr>
        <w:t xml:space="preserve">INTERVIEW PREPARATION GUIDE</w:t>
      </w:r>
    </w:p>
    <w:p>
      <w:pPr>
        <w:spacing w:after="40" w:before="0"/>
        <w:jc w:val="center"/>
      </w:pPr>
      <w:r>
        <w:rPr>
          <w:b/>
          <w:bCs/>
          <w:color w:val="2E75B6"/>
          <w:sz w:val="26"/>
          <w:szCs w:val="26"/>
        </w:rPr>
        <w:t xml:space="preserve">Principal IT Architect (SAP) — Honeywell</w:t>
      </w:r>
    </w:p>
    <w:p>
      <w:pPr>
        <w:spacing w:after="40" w:before="0"/>
        <w:jc w:val="center"/>
      </w:pPr>
      <w:r>
        <w:rPr>
          <w:color w:val="404040"/>
          <w:sz w:val="22"/>
          <w:szCs w:val="22"/>
        </w:rPr>
        <w:t xml:space="preserve">Candidate: Ganesh Krishnasingh</w:t>
      </w:r>
    </w:p>
    <w:p>
      <w:pPr>
        <w:pBdr>
          <w:bottom w:val="single" w:color="2E75B6" w:sz="4" w:space="1"/>
        </w:pBdr>
        <w:spacing w:after="80" w:before="80"/>
      </w:pPr>
    </w:p>
    <w:p>
      <w:pPr>
        <w:pStyle w:val="Heading1"/>
        <w:spacing w:after="120" w:before="300"/>
      </w:pPr>
      <w:r>
        <w:rPr>
          <w:b/>
          <w:bCs/>
          <w:color w:val="1F3864"/>
          <w:sz w:val="28"/>
          <w:szCs w:val="28"/>
        </w:rPr>
        <w:t xml:space="preserve">1. Role Overview &amp; Strategic Context</w:t>
      </w:r>
    </w:p>
    <w:p>
      <w:pPr>
        <w:spacing w:after="60" w:before="60"/>
      </w:pPr>
      <w:r>
        <w:rPr>
          <w:sz w:val="20"/>
          <w:szCs w:val="20"/>
        </w:rPr>
        <w:t xml:space="preserve">Honeywell is hiring a Principal IT Architect to serve as the senior SAP technical authority within their Enterprise IT function. The role sits at the intersection of architecture, hands-on delivery, and stakeholder management — closely aligned with your dual identity as a hands-on architect and team leader.</w:t>
      </w:r>
    </w:p>
    <w:p>
      <w:pPr>
        <w:spacing w:after="60" w:before="60"/>
      </w:pPr>
      <w:r>
        <w:rPr>
          <w:sz w:val="20"/>
          <w:szCs w:val="20"/>
        </w:rPr>
        <w:t xml:space="preserve"/>
      </w:r>
    </w:p>
    <w:p>
      <w:pPr>
        <w:spacing w:after="60" w:before="60"/>
      </w:pPr>
      <w:r>
        <w:rPr>
          <w:b/>
          <w:bCs/>
          <w:sz w:val="20"/>
          <w:szCs w:val="20"/>
        </w:rPr>
        <w:t xml:space="preserve">Key signals from the JD:</w:t>
      </w:r>
    </w:p>
    <w:p>
      <w:pPr>
        <w:pStyle w:val="ListParagraph"/>
        <w:numPr>
          <w:ilvl w:val="0"/>
          <w:numId w:val="2"/>
        </w:numPr>
        <w:spacing w:after="40" w:before="40"/>
      </w:pPr>
      <w:r>
        <w:rPr>
          <w:sz w:val="20"/>
          <w:szCs w:val="20"/>
        </w:rPr>
        <w:t xml:space="preserve">Honeywell explicitly lists S/4HANA, ABAP, UI5/Fiori, RAP, CDS Views, Clean Core — your exact stack</w:t>
      </w:r>
    </w:p>
    <w:p>
      <w:pPr>
        <w:pStyle w:val="ListParagraph"/>
        <w:numPr>
          <w:ilvl w:val="0"/>
          <w:numId w:val="2"/>
        </w:numPr>
        <w:spacing w:after="40" w:before="40"/>
      </w:pPr>
      <w:r>
        <w:rPr>
          <w:sz w:val="20"/>
          <w:szCs w:val="20"/>
        </w:rPr>
        <w:t xml:space="preserve">They value 'fast and right' delivery in a matrixed org — your 168 zero-defect Clean Core objects at Amgen is your anchor story</w:t>
      </w:r>
    </w:p>
    <w:p>
      <w:pPr>
        <w:pStyle w:val="ListParagraph"/>
        <w:numPr>
          <w:ilvl w:val="0"/>
          <w:numId w:val="2"/>
        </w:numPr>
        <w:spacing w:after="40" w:before="40"/>
      </w:pPr>
      <w:r>
        <w:rPr>
          <w:sz w:val="20"/>
          <w:szCs w:val="20"/>
        </w:rPr>
        <w:t xml:space="preserve">The role owns the SAP roadmap at Honeywell — mirrors your Capgemini strategic architecture responsibilities</w:t>
      </w:r>
    </w:p>
    <w:p>
      <w:pPr>
        <w:pStyle w:val="ListParagraph"/>
        <w:numPr>
          <w:ilvl w:val="0"/>
          <w:numId w:val="2"/>
        </w:numPr>
        <w:spacing w:after="40" w:before="40"/>
      </w:pPr>
      <w:r>
        <w:rPr>
          <w:sz w:val="20"/>
          <w:szCs w:val="20"/>
        </w:rPr>
        <w:t xml:space="preserve">Vendor management and stakeholder engagement are explicitly listed — you bring 52+ team leadership credibility</w:t>
      </w:r>
    </w:p>
    <w:p>
      <w:pPr>
        <w:pBdr>
          <w:bottom w:val="single" w:color="2E75B6" w:sz="4" w:space="1"/>
        </w:pBdr>
        <w:spacing w:after="80" w:before="80"/>
      </w:pPr>
    </w:p>
    <w:p>
      <w:pPr>
        <w:pStyle w:val="Heading1"/>
        <w:spacing w:after="120" w:before="300"/>
      </w:pPr>
      <w:r>
        <w:rPr>
          <w:b/>
          <w:bCs/>
          <w:color w:val="1F3864"/>
          <w:sz w:val="28"/>
          <w:szCs w:val="28"/>
        </w:rPr>
        <w:t xml:space="preserve">2. Requirement-to-Strength 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JD Requirement</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Your Match</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Strength / Gap</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12+ years SAP experience</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15+ years at Capgemini, CSC, Saint-Gobain</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ABAP, BAPIs, BADIs, Adobe Forms, Solution Manager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Extensive RICEF, BAPI customizations, Adobe Forms (Amgen regulatory docs)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5+ years S/4HANA, UI5, Fiori</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Led 7 S/4HANA implementations incl. 2023 versions; Fiori certified</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RAP-ABAP, CDS Views, Clean Core extensibility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168 Clean Core objects at Amgen; RAP-ABAP expertise listed on resume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3+ years Greenfield S/4HANA</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Delivered Brownfield &amp; Greenfield approaches across multiple clients</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Agile/DevOps environment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Scrum/JIRA managed deliveries; mention DevOps toolchain awareness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MODERATE — prep DevOps angle</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Solution Architecture</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Enterprise architect for Amgen, Johnson Controls transformations</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STRONG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JOULE (SAP AI Copilot)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Emerging capability — research and frame as learning pathway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GAP — prepare talking point</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Cloud platforms: Azure, AWS</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BTP (SAP cloud) expertise; limited Azure/AWS hands-on</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GAP — bridge via BTP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Finance module experience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Mentioned conceptually (FI concepts, MIRO); not deep FI expertise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PARTIAL — be transparent</w:t>
            </w:r>
          </w:p>
        </w:tc>
      </w:tr>
      <w:tr>
        <w:tc>
          <w:tcPr>
            <w:tcW w:type="dxa" w:w="32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Workflow tools (AgilePoint, Power Apps)</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SAP Flexible Workflow, BRF+; not AgilePoint/Power Apps</w:t>
            </w:r>
          </w:p>
        </w:tc>
        <w:tc>
          <w:tcPr>
            <w:tcW w:type="dxa" w:w="3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sz w:val="18"/>
                <w:szCs w:val="18"/>
              </w:rPr>
              <w:t xml:space="preserve">GAP — frame transferable skills</w:t>
            </w:r>
          </w:p>
        </w:tc>
      </w:tr>
    </w:tbl>
    <w:p>
      <w:pPr>
        <w:pBdr>
          <w:bottom w:val="single" w:color="2E75B6" w:sz="4" w:space="1"/>
        </w:pBdr>
        <w:spacing w:after="80" w:before="80"/>
      </w:pPr>
    </w:p>
    <w:p>
      <w:pPr>
        <w:pStyle w:val="Heading1"/>
        <w:spacing w:after="120" w:before="300"/>
      </w:pPr>
      <w:r>
        <w:rPr>
          <w:b/>
          <w:bCs/>
          <w:color w:val="1F3864"/>
          <w:sz w:val="28"/>
          <w:szCs w:val="28"/>
        </w:rPr>
        <w:t xml:space="preserve">3. Your Power Narrative (Opening 2-Minute Pitch)</w:t>
      </w:r>
    </w:p>
    <w:p>
      <w:pPr>
        <w:spacing w:after="60" w:before="60"/>
      </w:pPr>
      <w:r>
        <w:rPr>
          <w:sz w:val="20"/>
          <w:szCs w:val="20"/>
        </w:rPr>
        <w:t xml:space="preserve">Use this as your answer to 'Tell me about yourself' or 'Walk me through your background':</w:t>
      </w:r>
    </w:p>
    <w:p>
      <w:pPr>
        <w:spacing w:after="60" w:before="60"/>
      </w:pPr>
      <w:r>
        <w:rPr>
          <w:sz w:val="20"/>
          <w:szCs w:val="20"/>
        </w:rPr>
        <w:t xml:space="preserve"/>
      </w:r>
    </w:p>
    <w:p>
      <w:pPr>
        <w:pBdr>
          <w:left w:val="single" w:color="2E75B6" w:sz="12" w:space="4"/>
        </w:pBdr>
        <w:spacing w:after="80" w:before="80"/>
        <w:ind w:left="400"/>
      </w:pPr>
      <w:r>
        <w:rPr>
          <w:i/>
          <w:iCs/>
          <w:sz w:val="20"/>
          <w:szCs w:val="20"/>
        </w:rPr>
        <w:t xml:space="preserve">I'm a Senior SAP Solution Architect with 15+ years of enterprise SAP experience, the last 10 of which have been at Capgemini where I lead a global team of 52+ consultants. My core strength is sitting at the intersection of deep technical architecture and business-aligned delivery — I don't just design solutions, I build and govern them end to end.</w:t>
      </w:r>
    </w:p>
    <w:p>
      <w:pPr>
        <w:pBdr>
          <w:left w:val="single" w:color="2E75B6" w:sz="12" w:space="4"/>
        </w:pBdr>
        <w:spacing w:after="80" w:before="40"/>
        <w:ind w:left="400"/>
      </w:pPr>
      <w:r>
        <w:rPr>
          <w:i/>
          <w:iCs/>
          <w:sz w:val="20"/>
          <w:szCs w:val="20"/>
        </w:rPr>
        <w:t xml:space="preserve">My most recent flagship engagement was the Amgen S/4HANA 2023 Brownfield migration, where I architected and delivered 168 Clean Core objects — RAP-ABAP, CDS Views, Side-by-Side and Key extensibility — with a near-zero defect log. Before that, Johnson Controls where we delivered 62 Clean Core objects with zero iteration defects. These aren't just numbers — they represent a disciplined, audit-ready approach to SAP modernization.</w:t>
      </w:r>
    </w:p>
    <w:p>
      <w:pPr>
        <w:pBdr>
          <w:left w:val="single" w:color="2E75B6" w:sz="12" w:space="4"/>
        </w:pBdr>
        <w:spacing w:after="80" w:before="40"/>
        <w:ind w:left="400"/>
      </w:pPr>
      <w:r>
        <w:rPr>
          <w:i/>
          <w:iCs/>
          <w:sz w:val="20"/>
          <w:szCs w:val="20"/>
        </w:rPr>
        <w:t xml:space="preserve">For Honeywell, I see this role as the natural next step — moving from client delivery to owning the SAP roadmap inside an enterprise. I'm excited to bring that same architecture discipline to ensure Honeywell's SAP landscape is clean, scalable, and business-aligned for the long term.</w:t>
      </w:r>
    </w:p>
    <w:p>
      <w:pPr>
        <w:pBdr>
          <w:bottom w:val="single" w:color="2E75B6" w:sz="4" w:space="1"/>
        </w:pBdr>
        <w:spacing w:after="80" w:before="80"/>
      </w:pPr>
    </w:p>
    <w:p>
      <w:pPr>
        <w:pStyle w:val="Heading1"/>
        <w:spacing w:after="120" w:before="300"/>
      </w:pPr>
      <w:r>
        <w:rPr>
          <w:b/>
          <w:bCs/>
          <w:color w:val="1F3864"/>
          <w:sz w:val="28"/>
          <w:szCs w:val="28"/>
        </w:rPr>
        <w:t xml:space="preserve">4. Technical Interview Q&amp;A</w:t>
      </w:r>
    </w:p>
    <w:p>
      <w:pPr>
        <w:pStyle w:val="Heading2"/>
        <w:spacing w:after="80" w:before="240"/>
      </w:pPr>
      <w:r>
        <w:rPr>
          <w:b/>
          <w:bCs/>
          <w:color w:val="2E75B6"/>
          <w:sz w:val="24"/>
          <w:szCs w:val="24"/>
        </w:rPr>
        <w:t xml:space="preserve">4.1 Clean Core &amp; RAP-ABAP</w:t>
      </w:r>
    </w:p>
    <w:p>
      <w:pPr>
        <w:spacing w:after="60" w:before="180"/>
      </w:pPr>
      <w:r>
        <w:rPr>
          <w:b/>
          <w:bCs/>
          <w:color w:val="404040"/>
          <w:sz w:val="22"/>
          <w:szCs w:val="22"/>
        </w:rPr>
        <w:t xml:space="preserve">Q: How do you approach Clean Core implementation, and what's your framework for deciding what gets extended on-stack vs. side-by-side?</w:t>
      </w:r>
    </w:p>
    <w:p>
      <w:pPr>
        <w:spacing w:after="60" w:before="60"/>
      </w:pPr>
      <w:r>
        <w:rPr>
          <w:sz w:val="20"/>
          <w:szCs w:val="20"/>
        </w:rPr>
        <w:t xml:space="preserve">Model Answer:</w:t>
      </w:r>
    </w:p>
    <w:p>
      <w:pPr>
        <w:pStyle w:val="ListParagraph"/>
        <w:numPr>
          <w:ilvl w:val="0"/>
          <w:numId w:val="2"/>
        </w:numPr>
        <w:spacing w:after="40" w:before="40"/>
      </w:pPr>
      <w:r>
        <w:rPr>
          <w:sz w:val="20"/>
          <w:szCs w:val="20"/>
        </w:rPr>
        <w:t xml:space="preserve">Start with a Clean Core readiness assessment — classify all existing custom objects against SAP's extensibility model (In-App, Key, Side-by-Side)</w:t>
      </w:r>
    </w:p>
    <w:p>
      <w:pPr>
        <w:pStyle w:val="ListParagraph"/>
        <w:numPr>
          <w:ilvl w:val="0"/>
          <w:numId w:val="2"/>
        </w:numPr>
        <w:spacing w:after="40" w:before="40"/>
      </w:pPr>
      <w:r>
        <w:rPr>
          <w:sz w:val="20"/>
          <w:szCs w:val="20"/>
        </w:rPr>
        <w:t xml:space="preserve">Rule of thumb: Use In-App (BAdI, Key Extensibility) for lightweight UI or logic changes; Side-by-Side (BTP CAP/RAP) for complex process extensions or integrations that need independent lifecycle</w:t>
      </w:r>
    </w:p>
    <w:p>
      <w:pPr>
        <w:pStyle w:val="ListParagraph"/>
        <w:numPr>
          <w:ilvl w:val="0"/>
          <w:numId w:val="2"/>
        </w:numPr>
        <w:spacing w:after="40" w:before="40"/>
      </w:pPr>
      <w:r>
        <w:rPr>
          <w:sz w:val="20"/>
          <w:szCs w:val="20"/>
        </w:rPr>
        <w:t xml:space="preserve">At Amgen, I applied this framework to triage 168 objects — only those with no stable SAP API equivalent went side-by-side; all others were refactored to CDS-based RAP models</w:t>
      </w:r>
    </w:p>
    <w:p>
      <w:pPr>
        <w:pStyle w:val="ListParagraph"/>
        <w:numPr>
          <w:ilvl w:val="0"/>
          <w:numId w:val="2"/>
        </w:numPr>
        <w:spacing w:after="40" w:before="40"/>
      </w:pPr>
      <w:r>
        <w:rPr>
          <w:sz w:val="20"/>
          <w:szCs w:val="20"/>
        </w:rPr>
        <w:t xml:space="preserve">Key governance tool: SAP Custom Code Migration app + ABAP Test Cockpit to flag non-compliant code early</w:t>
      </w:r>
    </w:p>
    <w:p>
      <w:pPr>
        <w:spacing w:after="60" w:before="60"/>
      </w:pPr>
      <w:r>
        <w:rPr>
          <w:sz w:val="20"/>
          <w:szCs w:val="20"/>
        </w:rPr>
        <w:t xml:space="preserve">Anchor to resume: 168 Clean Core objects at Amgen, 62 at Johnson Controls — both zero-defect.</w:t>
      </w:r>
    </w:p>
    <w:p>
      <w:pPr>
        <w:spacing w:after="60" w:before="180"/>
      </w:pPr>
      <w:r>
        <w:rPr>
          <w:b/>
          <w:bCs/>
          <w:color w:val="404040"/>
          <w:sz w:val="22"/>
          <w:szCs w:val="22"/>
        </w:rPr>
        <w:t xml:space="preserve">Q: Walk me through a RAP-ABAP implementation you led — architecture, design decisions, challenges.</w:t>
      </w:r>
    </w:p>
    <w:p>
      <w:pPr>
        <w:spacing w:after="60" w:before="60"/>
      </w:pPr>
      <w:r>
        <w:rPr>
          <w:sz w:val="20"/>
          <w:szCs w:val="20"/>
        </w:rPr>
        <w:t xml:space="preserve">Model Answer Framework:</w:t>
      </w:r>
    </w:p>
    <w:p>
      <w:pPr>
        <w:pStyle w:val="ListParagraph"/>
        <w:numPr>
          <w:ilvl w:val="0"/>
          <w:numId w:val="2"/>
        </w:numPr>
        <w:spacing w:after="40" w:before="40"/>
      </w:pPr>
      <w:r>
        <w:rPr>
          <w:sz w:val="20"/>
          <w:szCs w:val="20"/>
        </w:rPr>
        <w:t xml:space="preserve">Business requirement: [e.g., custom procurement workflow at Amgen that needed to be Clean Core compliant]</w:t>
      </w:r>
    </w:p>
    <w:p>
      <w:pPr>
        <w:pStyle w:val="ListParagraph"/>
        <w:numPr>
          <w:ilvl w:val="0"/>
          <w:numId w:val="2"/>
        </w:numPr>
        <w:spacing w:after="40" w:before="40"/>
      </w:pPr>
      <w:r>
        <w:rPr>
          <w:sz w:val="20"/>
          <w:szCs w:val="20"/>
        </w:rPr>
        <w:t xml:space="preserve">Architecture: Defined CDS views as the data model foundation → behavior definition with managed scenario → exposed as OData V4 service → Fiori Elements UI</w:t>
      </w:r>
    </w:p>
    <w:p>
      <w:pPr>
        <w:pStyle w:val="ListParagraph"/>
        <w:numPr>
          <w:ilvl w:val="0"/>
          <w:numId w:val="2"/>
        </w:numPr>
        <w:spacing w:after="40" w:before="40"/>
      </w:pPr>
      <w:r>
        <w:rPr>
          <w:sz w:val="20"/>
          <w:szCs w:val="20"/>
        </w:rPr>
        <w:t xml:space="preserve">Challenge: Migrating legacy BAPI-heavy logic to RAP actions/determinations while preserving business logic integrity</w:t>
      </w:r>
    </w:p>
    <w:p>
      <w:pPr>
        <w:pStyle w:val="ListParagraph"/>
        <w:numPr>
          <w:ilvl w:val="0"/>
          <w:numId w:val="2"/>
        </w:numPr>
        <w:spacing w:after="40" w:before="40"/>
      </w:pPr>
      <w:r>
        <w:rPr>
          <w:sz w:val="20"/>
          <w:szCs w:val="20"/>
        </w:rPr>
        <w:t xml:space="preserve">Result: Clean Core compliant, no modification — passed SAP upgrade compatibility test</w:t>
      </w:r>
    </w:p>
    <w:p>
      <w:pPr>
        <w:spacing w:after="60" w:before="180"/>
      </w:pPr>
      <w:r>
        <w:rPr>
          <w:b/>
          <w:bCs/>
          <w:color w:val="404040"/>
          <w:sz w:val="22"/>
          <w:szCs w:val="22"/>
        </w:rPr>
        <w:t xml:space="preserve">Q: Explain the difference between CDS View Entities, DDIC-based CDS Views, and when you'd use each.</w:t>
      </w:r>
    </w:p>
    <w:p>
      <w:pPr>
        <w:pStyle w:val="ListParagraph"/>
        <w:numPr>
          <w:ilvl w:val="0"/>
          <w:numId w:val="2"/>
        </w:numPr>
        <w:spacing w:after="40" w:before="40"/>
      </w:pPr>
      <w:r>
        <w:rPr>
          <w:sz w:val="20"/>
          <w:szCs w:val="20"/>
        </w:rPr>
        <w:t xml:space="preserve">DDIC-based CDS Views: Traditional, support older ABAP stacks, use ABAP dictionary types — legacy path</w:t>
      </w:r>
    </w:p>
    <w:p>
      <w:pPr>
        <w:pStyle w:val="ListParagraph"/>
        <w:numPr>
          <w:ilvl w:val="0"/>
          <w:numId w:val="2"/>
        </w:numPr>
        <w:spacing w:after="40" w:before="40"/>
      </w:pPr>
      <w:r>
        <w:rPr>
          <w:sz w:val="20"/>
          <w:szCs w:val="20"/>
        </w:rPr>
        <w:t xml:space="preserve">CDS View Entities (new): Clean Core aligned, support newer RAP paradigm, stricter type safety, required for RAP models</w:t>
      </w:r>
    </w:p>
    <w:p>
      <w:pPr>
        <w:pStyle w:val="ListParagraph"/>
        <w:numPr>
          <w:ilvl w:val="0"/>
          <w:numId w:val="2"/>
        </w:numPr>
        <w:spacing w:after="40" w:before="40"/>
      </w:pPr>
      <w:r>
        <w:rPr>
          <w:sz w:val="20"/>
          <w:szCs w:val="20"/>
        </w:rPr>
        <w:t xml:space="preserve">Rule: Any new development targeting S/4HANA 2022+ should use CDS View Entities; migration from DDIC-based should be planned in roadmap</w:t>
      </w:r>
    </w:p>
    <w:p>
      <w:pPr>
        <w:pBdr>
          <w:bottom w:val="single" w:color="2E75B6" w:sz="4" w:space="1"/>
        </w:pBdr>
        <w:spacing w:after="80" w:before="80"/>
      </w:pPr>
    </w:p>
    <w:p>
      <w:pPr>
        <w:pStyle w:val="Heading2"/>
        <w:spacing w:after="80" w:before="240"/>
      </w:pPr>
      <w:r>
        <w:rPr>
          <w:b/>
          <w:bCs/>
          <w:color w:val="2E75B6"/>
          <w:sz w:val="24"/>
          <w:szCs w:val="24"/>
        </w:rPr>
        <w:t xml:space="preserve">4.2 S/4HANA Architecture</w:t>
      </w:r>
    </w:p>
    <w:p>
      <w:pPr>
        <w:spacing w:after="60" w:before="180"/>
      </w:pPr>
      <w:r>
        <w:rPr>
          <w:b/>
          <w:bCs/>
          <w:color w:val="404040"/>
          <w:sz w:val="22"/>
          <w:szCs w:val="22"/>
        </w:rPr>
        <w:t xml:space="preserve">Q: Honeywell runs a complex global SAP landscape. How do you approach technical debt reduction in an existing S/4HANA environment?</w:t>
      </w:r>
    </w:p>
    <w:p>
      <w:pPr>
        <w:pStyle w:val="ListParagraph"/>
        <w:numPr>
          <w:ilvl w:val="0"/>
          <w:numId w:val="2"/>
        </w:numPr>
        <w:spacing w:after="40" w:before="40"/>
      </w:pPr>
      <w:r>
        <w:rPr>
          <w:sz w:val="20"/>
          <w:szCs w:val="20"/>
        </w:rPr>
        <w:t xml:space="preserve">Phase 1: Audit — use SAP Custom Code Migration Worklist to inventory all Z-objects, classify by usage frequency and upgrade risk</w:t>
      </w:r>
    </w:p>
    <w:p>
      <w:pPr>
        <w:pStyle w:val="ListParagraph"/>
        <w:numPr>
          <w:ilvl w:val="0"/>
          <w:numId w:val="2"/>
        </w:numPr>
        <w:spacing w:after="40" w:before="40"/>
      </w:pPr>
      <w:r>
        <w:rPr>
          <w:sz w:val="20"/>
          <w:szCs w:val="20"/>
        </w:rPr>
        <w:t xml:space="preserve">Phase 2: Prioritize — focus on high-usage, high-risk objects first; low-usage candidates for decommission</w:t>
      </w:r>
    </w:p>
    <w:p>
      <w:pPr>
        <w:pStyle w:val="ListParagraph"/>
        <w:numPr>
          <w:ilvl w:val="0"/>
          <w:numId w:val="2"/>
        </w:numPr>
        <w:spacing w:after="40" w:before="40"/>
      </w:pPr>
      <w:r>
        <w:rPr>
          <w:sz w:val="20"/>
          <w:szCs w:val="20"/>
        </w:rPr>
        <w:t xml:space="preserve">Phase 3: Refactor — Clean Core approach; replace BAPIs with RAP, replace module pool with Fiori, replace legacy reports with CDS-based ALV</w:t>
      </w:r>
    </w:p>
    <w:p>
      <w:pPr>
        <w:pStyle w:val="ListParagraph"/>
        <w:numPr>
          <w:ilvl w:val="0"/>
          <w:numId w:val="2"/>
        </w:numPr>
        <w:spacing w:after="40" w:before="40"/>
      </w:pPr>
      <w:r>
        <w:rPr>
          <w:sz w:val="20"/>
          <w:szCs w:val="20"/>
        </w:rPr>
        <w:t xml:space="preserve">Governance: Establish 'No new modifications' policy; all new dev must pass ABAP Test Cockpit before code review</w:t>
      </w:r>
    </w:p>
    <w:p>
      <w:pPr>
        <w:spacing w:after="60" w:before="60"/>
      </w:pPr>
      <w:r>
        <w:rPr>
          <w:sz w:val="20"/>
          <w:szCs w:val="20"/>
        </w:rPr>
        <w:t xml:space="preserve">Reference: This is exactly the approach used at Amgen's Brownfield migration — reducing technical debt while delivering new capability.</w:t>
      </w:r>
    </w:p>
    <w:p>
      <w:pPr>
        <w:spacing w:after="60" w:before="180"/>
      </w:pPr>
      <w:r>
        <w:rPr>
          <w:b/>
          <w:bCs/>
          <w:color w:val="404040"/>
          <w:sz w:val="22"/>
          <w:szCs w:val="22"/>
        </w:rPr>
        <w:t xml:space="preserve">Q: How do you balance architectural purity (Clean Core) with business urgency when stakeholders need a quick fix?</w:t>
      </w:r>
    </w:p>
    <w:p>
      <w:pPr>
        <w:pStyle w:val="ListParagraph"/>
        <w:numPr>
          <w:ilvl w:val="0"/>
          <w:numId w:val="2"/>
        </w:numPr>
        <w:spacing w:after="40" w:before="40"/>
      </w:pPr>
      <w:r>
        <w:rPr>
          <w:sz w:val="20"/>
          <w:szCs w:val="20"/>
        </w:rPr>
        <w:t xml:space="preserve">Acknowledge the tension — business urgency is real, architectural debt is also real</w:t>
      </w:r>
    </w:p>
    <w:p>
      <w:pPr>
        <w:pStyle w:val="ListParagraph"/>
        <w:numPr>
          <w:ilvl w:val="0"/>
          <w:numId w:val="2"/>
        </w:numPr>
        <w:spacing w:after="40" w:before="40"/>
      </w:pPr>
      <w:r>
        <w:rPr>
          <w:sz w:val="20"/>
          <w:szCs w:val="20"/>
        </w:rPr>
        <w:t xml:space="preserve">Propose a two-track approach: Quick fix using supported extensibility (BAdI/Key User) that is Clean Core compliant even if not optimal</w:t>
      </w:r>
    </w:p>
    <w:p>
      <w:pPr>
        <w:pStyle w:val="ListParagraph"/>
        <w:numPr>
          <w:ilvl w:val="0"/>
          <w:numId w:val="2"/>
        </w:numPr>
        <w:spacing w:after="40" w:before="40"/>
      </w:pPr>
      <w:r>
        <w:rPr>
          <w:sz w:val="20"/>
          <w:szCs w:val="20"/>
        </w:rPr>
        <w:t xml:space="preserve">Simultaneously schedule a proper RAP-based replacement in the next sprint</w:t>
      </w:r>
    </w:p>
    <w:p>
      <w:pPr>
        <w:pStyle w:val="ListParagraph"/>
        <w:numPr>
          <w:ilvl w:val="0"/>
          <w:numId w:val="2"/>
        </w:numPr>
        <w:spacing w:after="40" w:before="40"/>
      </w:pPr>
      <w:r>
        <w:rPr>
          <w:sz w:val="20"/>
          <w:szCs w:val="20"/>
        </w:rPr>
        <w:t xml:space="preserve">Always document the interim solution in the architecture decision record (ADR)</w:t>
      </w:r>
    </w:p>
    <w:p>
      <w:pPr>
        <w:pStyle w:val="ListParagraph"/>
        <w:numPr>
          <w:ilvl w:val="0"/>
          <w:numId w:val="2"/>
        </w:numPr>
        <w:spacing w:after="40" w:before="40"/>
      </w:pPr>
      <w:r>
        <w:rPr>
          <w:sz w:val="20"/>
          <w:szCs w:val="20"/>
        </w:rPr>
        <w:t xml:space="preserve">At Capgemini, I institutionalized this with a 'tech debt ticket' that accompanies every expedited delivery</w:t>
      </w:r>
    </w:p>
    <w:p>
      <w:pPr>
        <w:pBdr>
          <w:bottom w:val="single" w:color="2E75B6" w:sz="4" w:space="1"/>
        </w:pBdr>
        <w:spacing w:after="80" w:before="80"/>
      </w:pPr>
    </w:p>
    <w:p>
      <w:pPr>
        <w:pStyle w:val="Heading2"/>
        <w:spacing w:after="80" w:before="240"/>
      </w:pPr>
      <w:r>
        <w:rPr>
          <w:b/>
          <w:bCs/>
          <w:color w:val="2E75B6"/>
          <w:sz w:val="24"/>
          <w:szCs w:val="24"/>
        </w:rPr>
        <w:t xml:space="preserve">4.3 Integration Architecture</w:t>
      </w:r>
    </w:p>
    <w:p>
      <w:pPr>
        <w:spacing w:after="60" w:before="180"/>
      </w:pPr>
      <w:r>
        <w:rPr>
          <w:b/>
          <w:bCs/>
          <w:color w:val="404040"/>
          <w:sz w:val="22"/>
          <w:szCs w:val="22"/>
        </w:rPr>
        <w:t xml:space="preserve">Q: Describe your experience architecting enterprise integrations — specifically SAP BTP Integration Suite vs. PI/PO — when would you recommend each?</w:t>
      </w:r>
    </w:p>
    <w:p>
      <w:pPr>
        <w:pStyle w:val="ListParagraph"/>
        <w:numPr>
          <w:ilvl w:val="0"/>
          <w:numId w:val="2"/>
        </w:numPr>
        <w:spacing w:after="40" w:before="40"/>
      </w:pPr>
      <w:r>
        <w:rPr>
          <w:sz w:val="20"/>
          <w:szCs w:val="20"/>
        </w:rPr>
        <w:t xml:space="preserve">PI/PO: Legacy middleware, on-premise, use for existing integrations already on PI/PO, especially in regulated environments with strict change control</w:t>
      </w:r>
    </w:p>
    <w:p>
      <w:pPr>
        <w:pStyle w:val="ListParagraph"/>
        <w:numPr>
          <w:ilvl w:val="0"/>
          <w:numId w:val="2"/>
        </w:numPr>
        <w:spacing w:after="40" w:before="40"/>
      </w:pPr>
      <w:r>
        <w:rPr>
          <w:sz w:val="20"/>
          <w:szCs w:val="20"/>
        </w:rPr>
        <w:t xml:space="preserve">BTP Integration Suite (CPI): Cloud-native, API-first, better for new integrations especially to cloud SaaS (Ariba, SuccessFactors, non-SAP cloud)</w:t>
      </w:r>
    </w:p>
    <w:p>
      <w:pPr>
        <w:pStyle w:val="ListParagraph"/>
        <w:numPr>
          <w:ilvl w:val="0"/>
          <w:numId w:val="2"/>
        </w:numPr>
        <w:spacing w:after="40" w:before="40"/>
      </w:pPr>
      <w:r>
        <w:rPr>
          <w:sz w:val="20"/>
          <w:szCs w:val="20"/>
        </w:rPr>
        <w:t xml:space="preserve">Hybrid scenario: Maintain PI/PO for core ERP-to-ERP; migrate net-new integrations to CPI; plan PI/PO sunset with roadmap</w:t>
      </w:r>
    </w:p>
    <w:p>
      <w:pPr>
        <w:spacing w:after="60" w:before="60"/>
      </w:pPr>
      <w:r>
        <w:rPr>
          <w:sz w:val="20"/>
          <w:szCs w:val="20"/>
        </w:rPr>
        <w:t xml:space="preserve">Reference: At Amgen I managed PI/PO for manufacturing integrations (WERUM PAS-X) while using BTP CPI for cloud-to-cloud patterns.</w:t>
      </w:r>
    </w:p>
    <w:p>
      <w:pPr>
        <w:spacing w:after="60" w:before="180"/>
      </w:pPr>
      <w:r>
        <w:rPr>
          <w:b/>
          <w:bCs/>
          <w:color w:val="404040"/>
          <w:sz w:val="22"/>
          <w:szCs w:val="22"/>
        </w:rPr>
        <w:t xml:space="preserve">Q: How have you handled SAP AIF (Application Interface Framework) for error monitoring and reprocessing?</w:t>
      </w:r>
    </w:p>
    <w:p>
      <w:pPr>
        <w:pStyle w:val="ListParagraph"/>
        <w:numPr>
          <w:ilvl w:val="0"/>
          <w:numId w:val="2"/>
        </w:numPr>
        <w:spacing w:after="40" w:before="40"/>
      </w:pPr>
      <w:r>
        <w:rPr>
          <w:sz w:val="20"/>
          <w:szCs w:val="20"/>
        </w:rPr>
        <w:t xml:space="preserve">AIF provides centralized error monitoring for IDoc, proxy, and direct proxy interfaces</w:t>
      </w:r>
    </w:p>
    <w:p>
      <w:pPr>
        <w:pStyle w:val="ListParagraph"/>
        <w:numPr>
          <w:ilvl w:val="0"/>
          <w:numId w:val="2"/>
        </w:numPr>
        <w:spacing w:after="40" w:before="40"/>
      </w:pPr>
      <w:r>
        <w:rPr>
          <w:sz w:val="20"/>
          <w:szCs w:val="20"/>
        </w:rPr>
        <w:t xml:space="preserve">Architecture: Define interface channels in AIF → map to process steps → configure alert rules for SLA breach</w:t>
      </w:r>
    </w:p>
    <w:p>
      <w:pPr>
        <w:pStyle w:val="ListParagraph"/>
        <w:numPr>
          <w:ilvl w:val="0"/>
          <w:numId w:val="2"/>
        </w:numPr>
        <w:spacing w:after="40" w:before="40"/>
      </w:pPr>
      <w:r>
        <w:rPr>
          <w:sz w:val="20"/>
          <w:szCs w:val="20"/>
        </w:rPr>
        <w:t xml:space="preserve">At Capgemini projects: Configured AIF for ATTP serialization message monitoring — critical for pharma compliance where every message must be traceable</w:t>
      </w:r>
    </w:p>
    <w:p>
      <w:pPr>
        <w:pStyle w:val="ListParagraph"/>
        <w:numPr>
          <w:ilvl w:val="0"/>
          <w:numId w:val="2"/>
        </w:numPr>
        <w:spacing w:after="40" w:before="40"/>
      </w:pPr>
      <w:r>
        <w:rPr>
          <w:sz w:val="20"/>
          <w:szCs w:val="20"/>
        </w:rPr>
        <w:t xml:space="preserve">Key advantage: Business users can reprocess errors without ABAP developer involvement — reduces support cost</w:t>
      </w:r>
    </w:p>
    <w:p>
      <w:pPr>
        <w:pBdr>
          <w:bottom w:val="single" w:color="2E75B6" w:sz="4" w:space="1"/>
        </w:pBdr>
        <w:spacing w:after="80" w:before="80"/>
      </w:pPr>
    </w:p>
    <w:p>
      <w:pPr>
        <w:pStyle w:val="Heading2"/>
        <w:spacing w:after="80" w:before="240"/>
      </w:pPr>
      <w:r>
        <w:rPr>
          <w:b/>
          <w:bCs/>
          <w:color w:val="2E75B6"/>
          <w:sz w:val="24"/>
          <w:szCs w:val="24"/>
        </w:rPr>
        <w:t xml:space="preserve">4.4 Fiori / UI5</w:t>
      </w:r>
    </w:p>
    <w:p>
      <w:pPr>
        <w:spacing w:after="60" w:before="180"/>
      </w:pPr>
      <w:r>
        <w:rPr>
          <w:b/>
          <w:bCs/>
          <w:color w:val="404040"/>
          <w:sz w:val="22"/>
          <w:szCs w:val="22"/>
        </w:rPr>
        <w:t xml:space="preserve">Q: Walk through your approach to a Fiori app delivery — from requirements to go-live.</w:t>
      </w:r>
    </w:p>
    <w:p>
      <w:pPr>
        <w:pStyle w:val="ListParagraph"/>
        <w:numPr>
          <w:ilvl w:val="0"/>
          <w:numId w:val="2"/>
        </w:numPr>
        <w:spacing w:after="40" w:before="40"/>
      </w:pPr>
      <w:r>
        <w:rPr>
          <w:sz w:val="20"/>
          <w:szCs w:val="20"/>
        </w:rPr>
        <w:t xml:space="preserve">Step 1: Identify use case — is it a standard Fiori app (configure only), an extension (key user/Fiori Elements), or a custom UI5 app?</w:t>
      </w:r>
    </w:p>
    <w:p>
      <w:pPr>
        <w:pStyle w:val="ListParagraph"/>
        <w:numPr>
          <w:ilvl w:val="0"/>
          <w:numId w:val="2"/>
        </w:numPr>
        <w:spacing w:after="40" w:before="40"/>
      </w:pPr>
      <w:r>
        <w:rPr>
          <w:sz w:val="20"/>
          <w:szCs w:val="20"/>
        </w:rPr>
        <w:t xml:space="preserve">Step 2: Prefer standard or Fiori Elements (OData V4 + RAP backend) for Clean Core alignment</w:t>
      </w:r>
    </w:p>
    <w:p>
      <w:pPr>
        <w:pStyle w:val="ListParagraph"/>
        <w:numPr>
          <w:ilvl w:val="0"/>
          <w:numId w:val="2"/>
        </w:numPr>
        <w:spacing w:after="40" w:before="40"/>
      </w:pPr>
      <w:r>
        <w:rPr>
          <w:sz w:val="20"/>
          <w:szCs w:val="20"/>
        </w:rPr>
        <w:t xml:space="preserve">Step 3: Design — wireframe, align with SAP Fiori design guidelines, validate with business</w:t>
      </w:r>
    </w:p>
    <w:p>
      <w:pPr>
        <w:pStyle w:val="ListParagraph"/>
        <w:numPr>
          <w:ilvl w:val="0"/>
          <w:numId w:val="2"/>
        </w:numPr>
        <w:spacing w:after="40" w:before="40"/>
      </w:pPr>
      <w:r>
        <w:rPr>
          <w:sz w:val="20"/>
          <w:szCs w:val="20"/>
        </w:rPr>
        <w:t xml:space="preserve">Step 4: Backend — RAP service, CDS view, authorization objects</w:t>
      </w:r>
    </w:p>
    <w:p>
      <w:pPr>
        <w:pStyle w:val="ListParagraph"/>
        <w:numPr>
          <w:ilvl w:val="0"/>
          <w:numId w:val="2"/>
        </w:numPr>
        <w:spacing w:after="40" w:before="40"/>
      </w:pPr>
      <w:r>
        <w:rPr>
          <w:sz w:val="20"/>
          <w:szCs w:val="20"/>
        </w:rPr>
        <w:t xml:space="preserve">Step 5: Deploy to SAP Build Work Zone or SAPUI5 ABAP Repository; configure launchpad roles</w:t>
      </w:r>
    </w:p>
    <w:p>
      <w:pPr>
        <w:pStyle w:val="ListParagraph"/>
        <w:numPr>
          <w:ilvl w:val="0"/>
          <w:numId w:val="2"/>
        </w:numPr>
        <w:spacing w:after="40" w:before="40"/>
      </w:pPr>
      <w:r>
        <w:rPr>
          <w:sz w:val="20"/>
          <w:szCs w:val="20"/>
        </w:rPr>
        <w:t xml:space="preserve">Step 6: Performance testing — especially for mobile scenarios</w:t>
      </w:r>
    </w:p>
    <w:p>
      <w:pPr>
        <w:pBdr>
          <w:bottom w:val="single" w:color="2E75B6" w:sz="4" w:space="1"/>
        </w:pBdr>
        <w:spacing w:after="80" w:before="80"/>
      </w:pPr>
    </w:p>
    <w:p>
      <w:pPr>
        <w:pStyle w:val="Heading1"/>
        <w:spacing w:after="120" w:before="300"/>
      </w:pPr>
      <w:r>
        <w:rPr>
          <w:b/>
          <w:bCs/>
          <w:color w:val="1F3864"/>
          <w:sz w:val="28"/>
          <w:szCs w:val="28"/>
        </w:rPr>
        <w:t xml:space="preserve">5. Behavioral Interview Q&amp;A (STAR Format)</w:t>
      </w:r>
    </w:p>
    <w:p>
      <w:pPr>
        <w:pStyle w:val="Heading2"/>
        <w:spacing w:after="80" w:before="240"/>
      </w:pPr>
      <w:r>
        <w:rPr>
          <w:b/>
          <w:bCs/>
          <w:color w:val="2E75B6"/>
          <w:sz w:val="24"/>
          <w:szCs w:val="24"/>
        </w:rPr>
        <w:t xml:space="preserve">Q1: Tell me about a time you led a complex SAP architecture initiative with significant business impact.</w:t>
      </w:r>
    </w:p>
    <w:p>
      <w:pPr>
        <w:spacing w:after="20" w:before="60"/>
      </w:pPr>
      <w:r>
        <w:rPr>
          <w:b/>
          <w:bCs/>
          <w:color w:val="2E75B6"/>
          <w:sz w:val="20"/>
          <w:szCs w:val="20"/>
        </w:rPr>
        <w:t xml:space="preserve">Situation: </w:t>
      </w:r>
      <w:r>
        <w:rPr>
          <w:sz w:val="20"/>
          <w:szCs w:val="20"/>
        </w:rPr>
        <w:t xml:space="preserve">At Amgen, we were executing a Brownfield S/4HANA 2023 migration for a biopharma client with strict FDA regulatory requirements. The existing landscape had 400+ custom objects, many using legacy modifications that would break Clean Core compliance.</w:t>
      </w:r>
    </w:p>
    <w:p>
      <w:pPr>
        <w:spacing w:after="20" w:before="20"/>
      </w:pPr>
      <w:r>
        <w:rPr>
          <w:b/>
          <w:bCs/>
          <w:color w:val="2E75B6"/>
          <w:sz w:val="20"/>
          <w:szCs w:val="20"/>
        </w:rPr>
        <w:t xml:space="preserve">Task: </w:t>
      </w:r>
      <w:r>
        <w:rPr>
          <w:sz w:val="20"/>
          <w:szCs w:val="20"/>
        </w:rPr>
        <w:t xml:space="preserve">As Lead Architect, I was responsible for delivering a Clean Core compliant custom development landscape — every object had to pass ABAP Test Cockpit and be upgrade-safe — while meeting aggressive go-live timelines.</w:t>
      </w:r>
    </w:p>
    <w:p>
      <w:pPr>
        <w:spacing w:after="20" w:before="20"/>
      </w:pPr>
      <w:r>
        <w:rPr>
          <w:b/>
          <w:bCs/>
          <w:color w:val="2E75B6"/>
          <w:sz w:val="20"/>
          <w:szCs w:val="20"/>
        </w:rPr>
        <w:t xml:space="preserve">Action: </w:t>
      </w:r>
      <w:r>
        <w:rPr>
          <w:sz w:val="20"/>
          <w:szCs w:val="20"/>
        </w:rPr>
        <w:t xml:space="preserve">I established a Clean Core governance framework: classified all 400+ objects into Clean/Reclassify/Retire categories. Led a team of 12 developers to refactor priority objects using RAP-ABAP, CDS Views, and BAdI-based extensions. Introduced a mandatory ABAP Test Cockpit gate in the code review process. Held weekly architecture review sessions to resolve design conflicts early.</w:t>
      </w:r>
    </w:p>
    <w:p>
      <w:pPr>
        <w:spacing w:after="60" w:before="20"/>
      </w:pPr>
      <w:r>
        <w:rPr>
          <w:b/>
          <w:bCs/>
          <w:color w:val="2E75B6"/>
          <w:sz w:val="20"/>
          <w:szCs w:val="20"/>
        </w:rPr>
        <w:t xml:space="preserve">Result: </w:t>
      </w:r>
      <w:r>
        <w:rPr>
          <w:sz w:val="20"/>
          <w:szCs w:val="20"/>
        </w:rPr>
        <w:t xml:space="preserve">Delivered 168 Clean Core objects with a near-zero defect log — one of the highest clean delivery rates in Capgemini's SAP practice. Client received Project Star recognition. The architecture now supports upgrade-ready operations through SAP's standard lifecycle.</w:t>
      </w:r>
    </w:p>
    <w:p>
      <w:pPr>
        <w:pStyle w:val="Heading2"/>
        <w:spacing w:after="80" w:before="240"/>
      </w:pPr>
      <w:r>
        <w:rPr>
          <w:b/>
          <w:bCs/>
          <w:color w:val="2E75B6"/>
          <w:sz w:val="24"/>
          <w:szCs w:val="24"/>
        </w:rPr>
        <w:t xml:space="preserve">Q2: Describe a situation where you had to manage a critical production issue under pressure.</w:t>
      </w:r>
    </w:p>
    <w:p>
      <w:pPr>
        <w:spacing w:after="20" w:before="60"/>
      </w:pPr>
      <w:r>
        <w:rPr>
          <w:b/>
          <w:bCs/>
          <w:color w:val="2E75B6"/>
          <w:sz w:val="20"/>
          <w:szCs w:val="20"/>
        </w:rPr>
        <w:t xml:space="preserve">Situation: </w:t>
      </w:r>
      <w:r>
        <w:rPr>
          <w:sz w:val="20"/>
          <w:szCs w:val="20"/>
        </w:rPr>
        <w:t xml:space="preserve">During a live production run at a Johnson Controls site, an SAP EWM-to-ASRS (Mini-Load automated warehouse) interface failed, causing warehouse operations to halt during peak shift hours.</w:t>
      </w:r>
    </w:p>
    <w:p>
      <w:pPr>
        <w:spacing w:after="20" w:before="20"/>
      </w:pPr>
      <w:r>
        <w:rPr>
          <w:b/>
          <w:bCs/>
          <w:color w:val="2E75B6"/>
          <w:sz w:val="20"/>
          <w:szCs w:val="20"/>
        </w:rPr>
        <w:t xml:space="preserve">Task: </w:t>
      </w:r>
      <w:r>
        <w:rPr>
          <w:sz w:val="20"/>
          <w:szCs w:val="20"/>
        </w:rPr>
        <w:t xml:space="preserve">I was the escalation lead responsible for restoring operations within a 2-hour SLA window — any delay meant direct financial impact on manufacturing output.</w:t>
      </w:r>
    </w:p>
    <w:p>
      <w:pPr>
        <w:spacing w:after="20" w:before="20"/>
      </w:pPr>
      <w:r>
        <w:rPr>
          <w:b/>
          <w:bCs/>
          <w:color w:val="2E75B6"/>
          <w:sz w:val="20"/>
          <w:szCs w:val="20"/>
        </w:rPr>
        <w:t xml:space="preserve">Action: </w:t>
      </w:r>
      <w:r>
        <w:rPr>
          <w:sz w:val="20"/>
          <w:szCs w:val="20"/>
        </w:rPr>
        <w:t xml:space="preserve">Immediately assembled a bridge call with the interface team, warehouse operations, and the ASRS vendor. Traced the failure to an IDoc format change from an OSS note applied over the weekend. Applied a temporary IDOC reprocessing workaround via AIF to restore flow, then implemented a permanent fix through a BAdI enhancement to handle the format variant. Conducted a root cause analysis and post-incident review within 24 hours.</w:t>
      </w:r>
    </w:p>
    <w:p>
      <w:pPr>
        <w:spacing w:after="60" w:before="20"/>
      </w:pPr>
      <w:r>
        <w:rPr>
          <w:b/>
          <w:bCs/>
          <w:color w:val="2E75B6"/>
          <w:sz w:val="20"/>
          <w:szCs w:val="20"/>
        </w:rPr>
        <w:t xml:space="preserve">Result: </w:t>
      </w:r>
      <w:r>
        <w:rPr>
          <w:sz w:val="20"/>
          <w:szCs w:val="20"/>
        </w:rPr>
        <w:t xml:space="preserve">Operations restored within 90 minutes — within SLA. Implemented a change control gate requiring interface regression testing before any OSS note applies. Delivered 62 zero-defect objects on the same project overall.</w:t>
      </w:r>
    </w:p>
    <w:p>
      <w:pPr>
        <w:pStyle w:val="Heading2"/>
        <w:spacing w:after="80" w:before="240"/>
      </w:pPr>
      <w:r>
        <w:rPr>
          <w:b/>
          <w:bCs/>
          <w:color w:val="2E75B6"/>
          <w:sz w:val="24"/>
          <w:szCs w:val="24"/>
        </w:rPr>
        <w:t xml:space="preserve">Q3: How do you manage technical stakeholders and business leaders with competing priorities?</w:t>
      </w:r>
    </w:p>
    <w:p>
      <w:pPr>
        <w:spacing w:after="20" w:before="60"/>
      </w:pPr>
      <w:r>
        <w:rPr>
          <w:b/>
          <w:bCs/>
          <w:color w:val="2E75B6"/>
          <w:sz w:val="20"/>
          <w:szCs w:val="20"/>
        </w:rPr>
        <w:t xml:space="preserve">Situation: </w:t>
      </w:r>
      <w:r>
        <w:rPr>
          <w:sz w:val="20"/>
          <w:szCs w:val="20"/>
        </w:rPr>
        <w:t xml:space="preserve">At Capgemini, during the Amgen ATTP serialization implementation, the business team wanted rapid go-live for a new serialization requirement while the architecture team flagged risks with the proposed integration approach to Tracelink.</w:t>
      </w:r>
    </w:p>
    <w:p>
      <w:pPr>
        <w:spacing w:after="20" w:before="20"/>
      </w:pPr>
      <w:r>
        <w:rPr>
          <w:b/>
          <w:bCs/>
          <w:color w:val="2E75B6"/>
          <w:sz w:val="20"/>
          <w:szCs w:val="20"/>
        </w:rPr>
        <w:t xml:space="preserve">Task: </w:t>
      </w:r>
      <w:r>
        <w:rPr>
          <w:sz w:val="20"/>
          <w:szCs w:val="20"/>
        </w:rPr>
        <w:t xml:space="preserve">I needed to align both sides — business couldn't delay (FDA compliance deadline) and architecture couldn't compromise on integration reliability.</w:t>
      </w:r>
    </w:p>
    <w:p>
      <w:pPr>
        <w:spacing w:after="20" w:before="20"/>
      </w:pPr>
      <w:r>
        <w:rPr>
          <w:b/>
          <w:bCs/>
          <w:color w:val="2E75B6"/>
          <w:sz w:val="20"/>
          <w:szCs w:val="20"/>
        </w:rPr>
        <w:t xml:space="preserve">Action: </w:t>
      </w:r>
      <w:r>
        <w:rPr>
          <w:sz w:val="20"/>
          <w:szCs w:val="20"/>
        </w:rPr>
        <w:t xml:space="preserve">Facilitated a joint architecture-business workshop. Translated the technical risk into business language: a flawed integration would risk regulatory audit failures worth potentially $10M+ in fines. Proposed a phased approach — launch with a validated interim integration pattern, then refactor to the target architecture in Phase 2. Created a clear decision matrix that made the tradeoff visible to leadership.</w:t>
      </w:r>
    </w:p>
    <w:p>
      <w:pPr>
        <w:spacing w:after="60" w:before="20"/>
      </w:pPr>
      <w:r>
        <w:rPr>
          <w:b/>
          <w:bCs/>
          <w:color w:val="2E75B6"/>
          <w:sz w:val="20"/>
          <w:szCs w:val="20"/>
        </w:rPr>
        <w:t xml:space="preserve">Result: </w:t>
      </w:r>
      <w:r>
        <w:rPr>
          <w:sz w:val="20"/>
          <w:szCs w:val="20"/>
        </w:rPr>
        <w:t xml:space="preserve">Both stakeholder groups aligned on the phased approach. Go-live met the FDA deadline. The target architecture refactor was delivered in Phase 2 with zero disruption to operations.</w:t>
      </w:r>
    </w:p>
    <w:p>
      <w:pPr>
        <w:pStyle w:val="Heading2"/>
        <w:spacing w:after="80" w:before="240"/>
      </w:pPr>
      <w:r>
        <w:rPr>
          <w:b/>
          <w:bCs/>
          <w:color w:val="2E75B6"/>
          <w:sz w:val="24"/>
          <w:szCs w:val="24"/>
        </w:rPr>
        <w:t xml:space="preserve">Q4: Tell me about a time you drove process automation or efficiency improvement.</w:t>
      </w:r>
    </w:p>
    <w:p>
      <w:pPr>
        <w:spacing w:after="20" w:before="60"/>
      </w:pPr>
      <w:r>
        <w:rPr>
          <w:b/>
          <w:bCs/>
          <w:color w:val="2E75B6"/>
          <w:sz w:val="20"/>
          <w:szCs w:val="20"/>
        </w:rPr>
        <w:t xml:space="preserve">Situation: </w:t>
      </w:r>
      <w:r>
        <w:rPr>
          <w:sz w:val="20"/>
          <w:szCs w:val="20"/>
        </w:rPr>
        <w:t xml:space="preserve">At Saint-Gobain, invoice processing in the warehouse was entirely manual — operators hand-keyed data from physical documents, causing errors and delays across the Jhagadia facility.</w:t>
      </w:r>
    </w:p>
    <w:p>
      <w:pPr>
        <w:spacing w:after="20" w:before="20"/>
      </w:pPr>
      <w:r>
        <w:rPr>
          <w:b/>
          <w:bCs/>
          <w:color w:val="2E75B6"/>
          <w:sz w:val="20"/>
          <w:szCs w:val="20"/>
        </w:rPr>
        <w:t xml:space="preserve">Task: </w:t>
      </w:r>
      <w:r>
        <w:rPr>
          <w:sz w:val="20"/>
          <w:szCs w:val="20"/>
        </w:rPr>
        <w:t xml:space="preserve">I was tasked with designing a solution to eliminate manual entry while working within a constrained budget and an aging SAP infrastructure.</w:t>
      </w:r>
    </w:p>
    <w:p>
      <w:pPr>
        <w:spacing w:after="20" w:before="20"/>
      </w:pPr>
      <w:r>
        <w:rPr>
          <w:b/>
          <w:bCs/>
          <w:color w:val="2E75B6"/>
          <w:sz w:val="20"/>
          <w:szCs w:val="20"/>
        </w:rPr>
        <w:t xml:space="preserve">Action: </w:t>
      </w:r>
      <w:r>
        <w:rPr>
          <w:sz w:val="20"/>
          <w:szCs w:val="20"/>
        </w:rPr>
        <w:t xml:space="preserve">Designed and developed an SAP BSP (Business Server Pages) application deployed on handheld terminals in the warehouse. The app allowed operators to scan barcodes, auto-populate invoice data, and submit directly to SAP — eliminating manual keying. Built a custom BAPI for data validation to ensure integrity.</w:t>
      </w:r>
    </w:p>
    <w:p>
      <w:pPr>
        <w:spacing w:after="60" w:before="20"/>
      </w:pPr>
      <w:r>
        <w:rPr>
          <w:b/>
          <w:bCs/>
          <w:color w:val="2E75B6"/>
          <w:sz w:val="20"/>
          <w:szCs w:val="20"/>
        </w:rPr>
        <w:t xml:space="preserve">Result: </w:t>
      </w:r>
      <w:r>
        <w:rPr>
          <w:sz w:val="20"/>
          <w:szCs w:val="20"/>
        </w:rPr>
        <w:t xml:space="preserve">Reduced invoice processing errors by over 70% and cut processing time by approximately 60%. The solution became a reference implementation for other Saint-Gobain facilities.</w:t>
      </w:r>
    </w:p>
    <w:p>
      <w:pPr>
        <w:pStyle w:val="Heading2"/>
        <w:spacing w:after="80" w:before="240"/>
      </w:pPr>
      <w:r>
        <w:rPr>
          <w:b/>
          <w:bCs/>
          <w:color w:val="2E75B6"/>
          <w:sz w:val="24"/>
          <w:szCs w:val="24"/>
        </w:rPr>
        <w:t xml:space="preserve">Q5: Describe your experience managing vendor or system integrator relationships.</w:t>
      </w:r>
    </w:p>
    <w:p>
      <w:pPr>
        <w:spacing w:after="20" w:before="60"/>
      </w:pPr>
      <w:r>
        <w:rPr>
          <w:b/>
          <w:bCs/>
          <w:color w:val="2E75B6"/>
          <w:sz w:val="20"/>
          <w:szCs w:val="20"/>
        </w:rPr>
        <w:t xml:space="preserve">Situation: </w:t>
      </w:r>
      <w:r>
        <w:rPr>
          <w:sz w:val="20"/>
          <w:szCs w:val="20"/>
        </w:rPr>
        <w:t xml:space="preserve">At Capgemini, I managed relationships with multiple third-party vendors simultaneously — WERUM (PAS-X MES), Tracelink, and ASRS automation vendors — during the Amgen biopharma S/4HANA program.</w:t>
      </w:r>
    </w:p>
    <w:p>
      <w:pPr>
        <w:spacing w:after="20" w:before="20"/>
      </w:pPr>
      <w:r>
        <w:rPr>
          <w:b/>
          <w:bCs/>
          <w:color w:val="2E75B6"/>
          <w:sz w:val="20"/>
          <w:szCs w:val="20"/>
        </w:rPr>
        <w:t xml:space="preserve">Task: </w:t>
      </w:r>
      <w:r>
        <w:rPr>
          <w:sz w:val="20"/>
          <w:szCs w:val="20"/>
        </w:rPr>
        <w:t xml:space="preserve">Each vendor had their own API standards, release cycles, and technical teams. Misalignment between SAP and any vendor system could halt serialization operations — a regulatory risk for the client.</w:t>
      </w:r>
    </w:p>
    <w:p>
      <w:pPr>
        <w:spacing w:after="20" w:before="20"/>
      </w:pPr>
      <w:r>
        <w:rPr>
          <w:b/>
          <w:bCs/>
          <w:color w:val="2E75B6"/>
          <w:sz w:val="20"/>
          <w:szCs w:val="20"/>
        </w:rPr>
        <w:t xml:space="preserve">Action: </w:t>
      </w:r>
      <w:r>
        <w:rPr>
          <w:sz w:val="20"/>
          <w:szCs w:val="20"/>
        </w:rPr>
        <w:t xml:space="preserve">Established a bi-weekly vendor technical sync cadence. Created standardized interface specification documents that both SAP and vendor teams signed off on before development began. Served as the single point of contact for all cross-system integration decisions. Negotiated with vendors on API versioning to ensure SAP upgrade compatibility.</w:t>
      </w:r>
    </w:p>
    <w:p>
      <w:pPr>
        <w:spacing w:after="60" w:before="20"/>
      </w:pPr>
      <w:r>
        <w:rPr>
          <w:b/>
          <w:bCs/>
          <w:color w:val="2E75B6"/>
          <w:sz w:val="20"/>
          <w:szCs w:val="20"/>
        </w:rPr>
        <w:t xml:space="preserve">Result: </w:t>
      </w:r>
      <w:r>
        <w:rPr>
          <w:sz w:val="20"/>
          <w:szCs w:val="20"/>
        </w:rPr>
        <w:t xml:space="preserve">All three vendor integrations went live on schedule. Post-go-live interface stability was maintained with less than 2 critical incidents in the first 6 months — significantly below the program's SLA threshold.</w:t>
      </w:r>
    </w:p>
    <w:p>
      <w:pPr>
        <w:pBdr>
          <w:bottom w:val="single" w:color="2E75B6" w:sz="4" w:space="1"/>
        </w:pBdr>
        <w:spacing w:after="80" w:before="80"/>
      </w:pPr>
    </w:p>
    <w:p>
      <w:pPr>
        <w:pStyle w:val="Heading1"/>
        <w:spacing w:after="120" w:before="300"/>
      </w:pPr>
      <w:r>
        <w:rPr>
          <w:b/>
          <w:bCs/>
          <w:color w:val="1F3864"/>
          <w:sz w:val="28"/>
          <w:szCs w:val="28"/>
        </w:rPr>
        <w:t xml:space="preserve">6. Architecture/Whiteboard Question Preparation</w:t>
      </w:r>
    </w:p>
    <w:p>
      <w:pPr>
        <w:pStyle w:val="Heading2"/>
        <w:spacing w:after="80" w:before="240"/>
      </w:pPr>
      <w:r>
        <w:rPr>
          <w:b/>
          <w:bCs/>
          <w:color w:val="2E75B6"/>
          <w:sz w:val="24"/>
          <w:szCs w:val="24"/>
        </w:rPr>
        <w:t xml:space="preserve">Q: Design an end-to-end SAP extensibility architecture for a new business process at Honeywell.</w:t>
      </w:r>
    </w:p>
    <w:p>
      <w:pPr>
        <w:spacing w:after="60" w:before="60"/>
      </w:pPr>
      <w:r>
        <w:rPr>
          <w:sz w:val="20"/>
          <w:szCs w:val="20"/>
        </w:rPr>
        <w:t xml:space="preserve">Suggested framework to walk the interviewer through:</w:t>
      </w:r>
    </w:p>
    <w:p>
      <w:pPr>
        <w:pStyle w:val="ListParagraph"/>
        <w:numPr>
          <w:ilvl w:val="0"/>
          <w:numId w:val="3"/>
        </w:numPr>
        <w:spacing w:after="40" w:before="40"/>
      </w:pPr>
      <w:r>
        <w:rPr>
          <w:sz w:val="20"/>
          <w:szCs w:val="20"/>
        </w:rPr>
        <w:t xml:space="preserve">Requirements Analysis: Understand business process, data entities, user personas, integration points, and compliance constraints.</w:t>
      </w:r>
    </w:p>
    <w:p>
      <w:pPr>
        <w:pStyle w:val="ListParagraph"/>
        <w:numPr>
          <w:ilvl w:val="0"/>
          <w:numId w:val="3"/>
        </w:numPr>
        <w:spacing w:after="40" w:before="40"/>
      </w:pPr>
      <w:r>
        <w:rPr>
          <w:sz w:val="20"/>
          <w:szCs w:val="20"/>
        </w:rPr>
        <w:t xml:space="preserve">Extensibility Classification: Apply SAP's extensibility model — can this be achieved via In-App (Key User/BAdI), or does it need Side-by-Side (BTP CAP/RAP)?</w:t>
      </w:r>
    </w:p>
    <w:p>
      <w:pPr>
        <w:pStyle w:val="ListParagraph"/>
        <w:numPr>
          <w:ilvl w:val="0"/>
          <w:numId w:val="3"/>
        </w:numPr>
        <w:spacing w:after="40" w:before="40"/>
      </w:pPr>
      <w:r>
        <w:rPr>
          <w:sz w:val="20"/>
          <w:szCs w:val="20"/>
        </w:rPr>
        <w:t xml:space="preserve">Data Model: Design CDS View Entity hierarchy — base views, composite views, consumption views — aligned with VDM (Virtual Data Model).</w:t>
      </w:r>
    </w:p>
    <w:p>
      <w:pPr>
        <w:pStyle w:val="ListParagraph"/>
        <w:numPr>
          <w:ilvl w:val="0"/>
          <w:numId w:val="3"/>
        </w:numPr>
        <w:spacing w:after="40" w:before="40"/>
      </w:pPr>
      <w:r>
        <w:rPr>
          <w:sz w:val="20"/>
          <w:szCs w:val="20"/>
        </w:rPr>
        <w:t xml:space="preserve">Business Logic: RAP behavior definition (managed/unmanaged), actions, determinations, validations.</w:t>
      </w:r>
    </w:p>
    <w:p>
      <w:pPr>
        <w:pStyle w:val="ListParagraph"/>
        <w:numPr>
          <w:ilvl w:val="0"/>
          <w:numId w:val="3"/>
        </w:numPr>
        <w:spacing w:after="40" w:before="40"/>
      </w:pPr>
      <w:r>
        <w:rPr>
          <w:sz w:val="20"/>
          <w:szCs w:val="20"/>
        </w:rPr>
        <w:t xml:space="preserve">UI Layer: Fiori Elements (annotations-driven) for standard patterns; custom UI5 only when Fiori Elements cannot satisfy UX requirement.</w:t>
      </w:r>
    </w:p>
    <w:p>
      <w:pPr>
        <w:pStyle w:val="ListParagraph"/>
        <w:numPr>
          <w:ilvl w:val="0"/>
          <w:numId w:val="3"/>
        </w:numPr>
        <w:spacing w:after="40" w:before="40"/>
      </w:pPr>
      <w:r>
        <w:rPr>
          <w:sz w:val="20"/>
          <w:szCs w:val="20"/>
        </w:rPr>
        <w:t xml:space="preserve">Integration: OData V4 APIs for external consumers; BTP Integration Suite for cloud-to-cloud; AIF for message monitoring.</w:t>
      </w:r>
    </w:p>
    <w:p>
      <w:pPr>
        <w:pStyle w:val="ListParagraph"/>
        <w:numPr>
          <w:ilvl w:val="0"/>
          <w:numId w:val="3"/>
        </w:numPr>
        <w:spacing w:after="40" w:before="40"/>
      </w:pPr>
      <w:r>
        <w:rPr>
          <w:sz w:val="20"/>
          <w:szCs w:val="20"/>
        </w:rPr>
        <w:t xml:space="preserve">Quality Gates: ABAP Test Cockpit in CI pipeline, Fiori Launchpad performance test, authorization concept review.</w:t>
      </w:r>
    </w:p>
    <w:p>
      <w:pPr>
        <w:pStyle w:val="ListParagraph"/>
        <w:numPr>
          <w:ilvl w:val="0"/>
          <w:numId w:val="3"/>
        </w:numPr>
        <w:spacing w:after="40" w:before="40"/>
      </w:pPr>
      <w:r>
        <w:rPr>
          <w:sz w:val="20"/>
          <w:szCs w:val="20"/>
        </w:rPr>
        <w:t xml:space="preserve">Governance: Architecture Decision Record (ADR) documenting design choices, upgrade impact assessment.</w:t>
      </w:r>
    </w:p>
    <w:p>
      <w:pPr>
        <w:pBdr>
          <w:bottom w:val="single" w:color="2E75B6" w:sz="4" w:space="1"/>
        </w:pBdr>
        <w:spacing w:after="80" w:before="80"/>
      </w:pPr>
    </w:p>
    <w:p>
      <w:pPr>
        <w:pStyle w:val="Heading1"/>
        <w:spacing w:after="120" w:before="300"/>
      </w:pPr>
      <w:r>
        <w:rPr>
          <w:b/>
          <w:bCs/>
          <w:color w:val="1F3864"/>
          <w:sz w:val="28"/>
          <w:szCs w:val="28"/>
        </w:rPr>
        <w:t xml:space="preserve">7. Gap Areas — How to Handle Them</w:t>
      </w:r>
    </w:p>
    <w:p>
      <w:pPr>
        <w:pStyle w:val="Heading2"/>
        <w:spacing w:after="80" w:before="240"/>
      </w:pPr>
      <w:r>
        <w:rPr>
          <w:b/>
          <w:bCs/>
          <w:color w:val="2E75B6"/>
          <w:sz w:val="24"/>
          <w:szCs w:val="24"/>
        </w:rPr>
        <w:t xml:space="preserve">SAP Joule</w:t>
      </w:r>
    </w:p>
    <w:p>
      <w:pPr>
        <w:spacing w:after="60" w:before="60"/>
      </w:pPr>
      <w:r>
        <w:rPr>
          <w:sz w:val="20"/>
          <w:szCs w:val="20"/>
        </w:rPr>
        <w:t xml:space="preserve">Joule is SAP's generative AI copilot embedded across SAP applications. Key talking points:</w:t>
      </w:r>
    </w:p>
    <w:p>
      <w:pPr>
        <w:pStyle w:val="ListParagraph"/>
        <w:numPr>
          <w:ilvl w:val="0"/>
          <w:numId w:val="2"/>
        </w:numPr>
        <w:spacing w:after="40" w:before="40"/>
      </w:pPr>
      <w:r>
        <w:rPr>
          <w:sz w:val="20"/>
          <w:szCs w:val="20"/>
        </w:rPr>
        <w:t xml:space="preserve">Frame as: 'I've been closely tracking SAP's AI roadmap — Joule represents a fundamental shift in how users interact with SAP. I've studied the embedded AI scenarios in S/4HANA 2023 and the BTP AI Core capabilities, and I'm actively building knowledge in this area.'</w:t>
      </w:r>
    </w:p>
    <w:p>
      <w:pPr>
        <w:pStyle w:val="ListParagraph"/>
        <w:numPr>
          <w:ilvl w:val="0"/>
          <w:numId w:val="2"/>
        </w:numPr>
        <w:spacing w:after="40" w:before="40"/>
      </w:pPr>
      <w:r>
        <w:rPr>
          <w:sz w:val="20"/>
          <w:szCs w:val="20"/>
        </w:rPr>
        <w:t xml:space="preserve">Bridge to strength: Your GPT-5 and BTP AI Core Python application development shows genuine AI capability — mention it</w:t>
      </w:r>
    </w:p>
    <w:p>
      <w:pPr>
        <w:pStyle w:val="ListParagraph"/>
        <w:numPr>
          <w:ilvl w:val="0"/>
          <w:numId w:val="2"/>
        </w:numPr>
        <w:spacing w:after="40" w:before="40"/>
      </w:pPr>
      <w:r>
        <w:rPr>
          <w:sz w:val="20"/>
          <w:szCs w:val="20"/>
        </w:rPr>
        <w:t xml:space="preserve">Honest positioning: 'I haven't deployed Joule in production yet, but my architecture background means I can design the integration patterns between Joule and custom extensions quickly'</w:t>
      </w:r>
    </w:p>
    <w:p>
      <w:pPr>
        <w:pStyle w:val="Heading2"/>
        <w:spacing w:after="80" w:before="240"/>
      </w:pPr>
      <w:r>
        <w:rPr>
          <w:b/>
          <w:bCs/>
          <w:color w:val="2E75B6"/>
          <w:sz w:val="24"/>
          <w:szCs w:val="24"/>
        </w:rPr>
        <w:t xml:space="preserve">Azure / AWS Cloud Platforms</w:t>
      </w:r>
    </w:p>
    <w:p>
      <w:pPr>
        <w:spacing w:after="60" w:before="60"/>
      </w:pPr>
      <w:r>
        <w:rPr>
          <w:sz w:val="20"/>
          <w:szCs w:val="20"/>
        </w:rPr>
        <w:t xml:space="preserve">You have deep BTP expertise which is SAP's cloud platform. Bridge it:</w:t>
      </w:r>
    </w:p>
    <w:p>
      <w:pPr>
        <w:pStyle w:val="ListParagraph"/>
        <w:numPr>
          <w:ilvl w:val="0"/>
          <w:numId w:val="2"/>
        </w:numPr>
        <w:spacing w:after="40" w:before="40"/>
      </w:pPr>
      <w:r>
        <w:rPr>
          <w:sz w:val="20"/>
          <w:szCs w:val="20"/>
        </w:rPr>
        <w:t xml:space="preserve">'My cloud architecture experience is primarily on SAP BTP — designing multi-tenant, cloud-native extensions using CAP, BTP Integration Suite, and AI Core. The fundamental cloud architecture patterns — event-driven, API-first, microservices — translate directly to Azure and AWS.'</w:t>
      </w:r>
    </w:p>
    <w:p>
      <w:pPr>
        <w:pStyle w:val="ListParagraph"/>
        <w:numPr>
          <w:ilvl w:val="0"/>
          <w:numId w:val="2"/>
        </w:numPr>
        <w:spacing w:after="40" w:before="40"/>
      </w:pPr>
      <w:r>
        <w:rPr>
          <w:sz w:val="20"/>
          <w:szCs w:val="20"/>
        </w:rPr>
        <w:t xml:space="preserve">'I'm familiar with Azure at an integration level — BTP natively integrates with Azure AD for identity and Azure Blob Storage for document management.'</w:t>
      </w:r>
    </w:p>
    <w:p>
      <w:pPr>
        <w:pStyle w:val="Heading2"/>
        <w:spacing w:after="80" w:before="240"/>
      </w:pPr>
      <w:r>
        <w:rPr>
          <w:b/>
          <w:bCs/>
          <w:color w:val="2E75B6"/>
          <w:sz w:val="24"/>
          <w:szCs w:val="24"/>
        </w:rPr>
        <w:t xml:space="preserve">DevOps Practices</w:t>
      </w:r>
    </w:p>
    <w:p>
      <w:pPr>
        <w:spacing w:after="60" w:before="60"/>
      </w:pPr>
      <w:r>
        <w:rPr>
          <w:sz w:val="20"/>
          <w:szCs w:val="20"/>
        </w:rPr>
        <w:t xml:space="preserve">You have Agile/JIRA experience. Extend to DevOps talking points:</w:t>
      </w:r>
    </w:p>
    <w:p>
      <w:pPr>
        <w:pStyle w:val="ListParagraph"/>
        <w:numPr>
          <w:ilvl w:val="0"/>
          <w:numId w:val="2"/>
        </w:numPr>
        <w:spacing w:after="40" w:before="40"/>
      </w:pPr>
      <w:r>
        <w:rPr>
          <w:sz w:val="20"/>
          <w:szCs w:val="20"/>
        </w:rPr>
        <w:t xml:space="preserve">Mention ABAP Test Cockpit as your quality gate — it's a DevOps principle applied to ABAP</w:t>
      </w:r>
    </w:p>
    <w:p>
      <w:pPr>
        <w:pStyle w:val="ListParagraph"/>
        <w:numPr>
          <w:ilvl w:val="0"/>
          <w:numId w:val="2"/>
        </w:numPr>
        <w:spacing w:after="40" w:before="40"/>
      </w:pPr>
      <w:r>
        <w:rPr>
          <w:sz w:val="20"/>
          <w:szCs w:val="20"/>
        </w:rPr>
        <w:t xml:space="preserve">Mention CART tool usage for quality delivery — automated testing mindset</w:t>
      </w:r>
    </w:p>
    <w:p>
      <w:pPr>
        <w:pStyle w:val="ListParagraph"/>
        <w:numPr>
          <w:ilvl w:val="0"/>
          <w:numId w:val="2"/>
        </w:numPr>
        <w:spacing w:after="40" w:before="40"/>
      </w:pPr>
      <w:r>
        <w:rPr>
          <w:sz w:val="20"/>
          <w:szCs w:val="20"/>
        </w:rPr>
        <w:t xml:space="preserve">'At Capgemini I governed CI practices for ABAP — code review gates, test automation via eCATT, and staged transport management through Solution Manager'</w:t>
      </w:r>
    </w:p>
    <w:p>
      <w:pPr>
        <w:pStyle w:val="Heading2"/>
        <w:spacing w:after="80" w:before="240"/>
      </w:pPr>
      <w:r>
        <w:rPr>
          <w:b/>
          <w:bCs/>
          <w:color w:val="2E75B6"/>
          <w:sz w:val="24"/>
          <w:szCs w:val="24"/>
        </w:rPr>
        <w:t xml:space="preserve">Finance Module Depth</w:t>
      </w:r>
    </w:p>
    <w:p>
      <w:pPr>
        <w:pStyle w:val="ListParagraph"/>
        <w:numPr>
          <w:ilvl w:val="0"/>
          <w:numId w:val="2"/>
        </w:numPr>
        <w:spacing w:after="40" w:before="40"/>
      </w:pPr>
      <w:r>
        <w:rPr>
          <w:sz w:val="20"/>
          <w:szCs w:val="20"/>
        </w:rPr>
        <w:t xml:space="preserve">Be transparent: 'My primary strength is Supply Chain — MM, EWM, TM, ATTP, PP. I have working knowledge of FI integration points — MIRO, financial posting, cost center assignment — but FI configuration is not my deepest domain.'</w:t>
      </w:r>
    </w:p>
    <w:p>
      <w:pPr>
        <w:pStyle w:val="ListParagraph"/>
        <w:numPr>
          <w:ilvl w:val="0"/>
          <w:numId w:val="2"/>
        </w:numPr>
        <w:spacing w:after="40" w:before="40"/>
      </w:pPr>
      <w:r>
        <w:rPr>
          <w:sz w:val="20"/>
          <w:szCs w:val="20"/>
        </w:rPr>
        <w:t xml:space="preserve">Then bridge: 'At Amgen, I worked closely with the FI architect on the integration between MM procurement and FI posting — I understand the intersection well and can ramp up on FI-specific config quickly given my 15 years of adjacent domain expertise.'</w:t>
      </w:r>
    </w:p>
    <w:p>
      <w:pPr>
        <w:pBdr>
          <w:bottom w:val="single" w:color="2E75B6" w:sz="4" w:space="1"/>
        </w:pBdr>
        <w:spacing w:after="80" w:before="80"/>
      </w:pPr>
    </w:p>
    <w:p>
      <w:pPr>
        <w:pStyle w:val="Heading1"/>
        <w:spacing w:after="120" w:before="300"/>
      </w:pPr>
      <w:r>
        <w:rPr>
          <w:b/>
          <w:bCs/>
          <w:color w:val="1F3864"/>
          <w:sz w:val="28"/>
          <w:szCs w:val="28"/>
        </w:rPr>
        <w:t xml:space="preserve">8. Questions to Ask the Interviewer</w:t>
      </w:r>
    </w:p>
    <w:p>
      <w:pPr>
        <w:spacing w:after="60" w:before="60"/>
      </w:pPr>
      <w:r>
        <w:rPr>
          <w:sz w:val="20"/>
          <w:szCs w:val="20"/>
        </w:rPr>
        <w:t xml:space="preserve">Asking strong questions signals strategic thinking and genuine interest:</w:t>
      </w:r>
    </w:p>
    <w:p>
      <w:pPr>
        <w:pStyle w:val="ListParagraph"/>
        <w:numPr>
          <w:ilvl w:val="0"/>
          <w:numId w:val="2"/>
        </w:numPr>
        <w:spacing w:after="40" w:before="40"/>
      </w:pPr>
      <w:r>
        <w:rPr>
          <w:sz w:val="20"/>
          <w:szCs w:val="20"/>
        </w:rPr>
        <w:t xml:space="preserve">What does Honeywell's current SAP landscape look like — version, number of systems, key integrations — and what's the 3-year roadmap vision for this role?</w:t>
      </w:r>
    </w:p>
    <w:p>
      <w:pPr>
        <w:pStyle w:val="ListParagraph"/>
        <w:numPr>
          <w:ilvl w:val="0"/>
          <w:numId w:val="2"/>
        </w:numPr>
        <w:spacing w:after="40" w:before="40"/>
      </w:pPr>
      <w:r>
        <w:rPr>
          <w:sz w:val="20"/>
          <w:szCs w:val="20"/>
        </w:rPr>
        <w:t xml:space="preserve">What are the biggest technical debt items or architectural pain points you're looking for this person to address in the first year?</w:t>
      </w:r>
    </w:p>
    <w:p>
      <w:pPr>
        <w:pStyle w:val="ListParagraph"/>
        <w:numPr>
          <w:ilvl w:val="0"/>
          <w:numId w:val="2"/>
        </w:numPr>
        <w:spacing w:after="40" w:before="40"/>
      </w:pPr>
      <w:r>
        <w:rPr>
          <w:sz w:val="20"/>
          <w:szCs w:val="20"/>
        </w:rPr>
        <w:t xml:space="preserve">How does the Principal Architect role interact with Honeywell's enterprise architecture governance — do you follow TOGAF or an internal framework?</w:t>
      </w:r>
    </w:p>
    <w:p>
      <w:pPr>
        <w:pStyle w:val="ListParagraph"/>
        <w:numPr>
          <w:ilvl w:val="0"/>
          <w:numId w:val="2"/>
        </w:numPr>
        <w:spacing w:after="40" w:before="40"/>
      </w:pPr>
      <w:r>
        <w:rPr>
          <w:sz w:val="20"/>
          <w:szCs w:val="20"/>
        </w:rPr>
        <w:t xml:space="preserve">What does success look like at 6 months and 12 months for this role?</w:t>
      </w:r>
    </w:p>
    <w:p>
      <w:pPr>
        <w:pStyle w:val="ListParagraph"/>
        <w:numPr>
          <w:ilvl w:val="0"/>
          <w:numId w:val="2"/>
        </w:numPr>
        <w:spacing w:after="40" w:before="40"/>
      </w:pPr>
      <w:r>
        <w:rPr>
          <w:sz w:val="20"/>
          <w:szCs w:val="20"/>
        </w:rPr>
        <w:t xml:space="preserve">How is SAP AI / Joule adoption being evaluated at Honeywell — is there a roadmap or pilot underway?</w:t>
      </w:r>
    </w:p>
    <w:p>
      <w:pPr>
        <w:pStyle w:val="ListParagraph"/>
        <w:numPr>
          <w:ilvl w:val="0"/>
          <w:numId w:val="2"/>
        </w:numPr>
        <w:spacing w:after="40" w:before="40"/>
      </w:pPr>
      <w:r>
        <w:rPr>
          <w:sz w:val="20"/>
          <w:szCs w:val="20"/>
        </w:rPr>
        <w:t xml:space="preserve">What's the balance between hands-on architecture work vs. leadership and vendor management in this role day-to-day?</w:t>
      </w:r>
    </w:p>
    <w:p>
      <w:pPr>
        <w:pBdr>
          <w:bottom w:val="single" w:color="2E75B6" w:sz="4" w:space="1"/>
        </w:pBdr>
        <w:spacing w:after="80" w:before="80"/>
      </w:pPr>
    </w:p>
    <w:p>
      <w:pPr>
        <w:pStyle w:val="Heading1"/>
        <w:spacing w:after="120" w:before="300"/>
      </w:pPr>
      <w:r>
        <w:rPr>
          <w:b/>
          <w:bCs/>
          <w:color w:val="1F3864"/>
          <w:sz w:val="28"/>
          <w:szCs w:val="28"/>
        </w:rPr>
        <w:t xml:space="preserve">9. Final Preparation Checklist</w:t>
      </w:r>
    </w:p>
    <w:p>
      <w:pPr>
        <w:pStyle w:val="ListParagraph"/>
        <w:numPr>
          <w:ilvl w:val="0"/>
          <w:numId w:val="3"/>
        </w:numPr>
        <w:spacing w:after="40" w:before="40"/>
      </w:pPr>
      <w:r>
        <w:rPr>
          <w:sz w:val="20"/>
          <w:szCs w:val="20"/>
        </w:rPr>
        <w:t xml:space="preserve">Memorize your three power metrics: 168 objects (Amgen), 62 objects (Johnson Controls), 52+ team leadership</w:t>
      </w:r>
    </w:p>
    <w:p>
      <w:pPr>
        <w:pStyle w:val="ListParagraph"/>
        <w:numPr>
          <w:ilvl w:val="0"/>
          <w:numId w:val="3"/>
        </w:numPr>
        <w:spacing w:after="40" w:before="40"/>
      </w:pPr>
      <w:r>
        <w:rPr>
          <w:sz w:val="20"/>
          <w:szCs w:val="20"/>
        </w:rPr>
        <w:t xml:space="preserve">Research Honeywell's SAP footprint — check their press releases, SAP SAPPHIRE/events presence, and LinkedIn for their IT team</w:t>
      </w:r>
    </w:p>
    <w:p>
      <w:pPr>
        <w:pStyle w:val="ListParagraph"/>
        <w:numPr>
          <w:ilvl w:val="0"/>
          <w:numId w:val="3"/>
        </w:numPr>
        <w:spacing w:after="40" w:before="40"/>
      </w:pPr>
      <w:r>
        <w:rPr>
          <w:sz w:val="20"/>
          <w:szCs w:val="20"/>
        </w:rPr>
        <w:t xml:space="preserve">Review SAP Joule documentation on help.sap.com — 30 minutes of reading will give you confident talking points</w:t>
      </w:r>
    </w:p>
    <w:p>
      <w:pPr>
        <w:pStyle w:val="ListParagraph"/>
        <w:numPr>
          <w:ilvl w:val="0"/>
          <w:numId w:val="3"/>
        </w:numPr>
        <w:spacing w:after="40" w:before="40"/>
      </w:pPr>
      <w:r>
        <w:rPr>
          <w:sz w:val="20"/>
          <w:szCs w:val="20"/>
        </w:rPr>
        <w:t xml:space="preserve">Practice your 2-minute opening pitch out loud — time it and refine</w:t>
      </w:r>
    </w:p>
    <w:p>
      <w:pPr>
        <w:pStyle w:val="ListParagraph"/>
        <w:numPr>
          <w:ilvl w:val="0"/>
          <w:numId w:val="3"/>
        </w:numPr>
        <w:spacing w:after="40" w:before="40"/>
      </w:pPr>
      <w:r>
        <w:rPr>
          <w:sz w:val="20"/>
          <w:szCs w:val="20"/>
        </w:rPr>
        <w:t xml:space="preserve">Prepare a brief architecture diagram sketch you can draw on a whiteboard for the extensibility design question</w:t>
      </w:r>
    </w:p>
    <w:p>
      <w:pPr>
        <w:pStyle w:val="ListParagraph"/>
        <w:numPr>
          <w:ilvl w:val="0"/>
          <w:numId w:val="3"/>
        </w:numPr>
        <w:spacing w:after="40" w:before="40"/>
      </w:pPr>
      <w:r>
        <w:rPr>
          <w:sz w:val="20"/>
          <w:szCs w:val="20"/>
        </w:rPr>
        <w:t xml:space="preserve">Review TOGAF basics — the role likely involves enterprise architecture governance conversations</w:t>
      </w:r>
    </w:p>
    <w:p>
      <w:pPr>
        <w:pStyle w:val="ListParagraph"/>
        <w:numPr>
          <w:ilvl w:val="0"/>
          <w:numId w:val="3"/>
        </w:numPr>
        <w:spacing w:after="40" w:before="40"/>
      </w:pPr>
      <w:r>
        <w:rPr>
          <w:sz w:val="20"/>
          <w:szCs w:val="20"/>
        </w:rPr>
        <w:t xml:space="preserve">Confirm visa / H1B transfer readiness talking points in case it comes up</w:t>
      </w:r>
    </w:p>
    <w:p>
      <w:pPr>
        <w:pBdr>
          <w:bottom w:val="single" w:color="2E75B6" w:sz="4" w:space="1"/>
        </w:pBdr>
        <w:spacing w:after="80" w:before="80"/>
      </w:pPr>
    </w:p>
    <w:p>
      <w:pPr>
        <w:spacing w:after="0" w:before="200"/>
        <w:jc w:val="center"/>
      </w:pPr>
      <w:r>
        <w:rPr>
          <w:i/>
          <w:iCs/>
          <w:color w:val="2E75B6"/>
          <w:sz w:val="20"/>
          <w:szCs w:val="20"/>
        </w:rPr>
        <w:t xml:space="preserve">Best of luck, Ganesh! Your technical depth and delivery track record are exactly what this role demands.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sz w:val="28"/>
      <w:szCs w:val="28"/>
    </w:rPr>
  </w:style>
  <w:style w:type="paragraph" w:styleId="Heading2">
    <w:name w:val="Heading 2"/>
    <w:basedOn w:val="Normal"/>
    <w:next w:val="Normal"/>
    <w:qFormat/>
    <w:pPr>
      <w:spacing w:after="8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2026-04-28T02:26:35.654Z</dcterms:created>
  <dcterms:modified xsi:type="dcterms:W3CDTF">2026-04-28T02:26:35.655Z</dcterms:modified>
</cp:coreProperties>
</file>

<file path=docProps/custom.xml><?xml version="1.0" encoding="utf-8"?>
<Properties xmlns="http://schemas.openxmlformats.org/officeDocument/2006/custom-properties" xmlns:vt="http://schemas.openxmlformats.org/officeDocument/2006/docPropsVTypes"/>
</file>