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jc w:val="center"/>
      </w:pPr>
      <w:r>
        <w:rPr>
          <w:rFonts w:ascii="Arial" w:cs="Arial" w:eastAsia="Arial" w:hAnsi="Arial"/>
          <w:b/>
          <w:bCs/>
          <w:color w:val="2E74B5"/>
          <w:sz w:val="28"/>
          <w:szCs w:val="28"/>
        </w:rPr>
        <w:t xml:space="preserve">SAP ARCHITECT</w:t>
      </w:r>
    </w:p>
    <w:p>
      <w:pPr>
        <w:spacing w:before="80" w:after="80"/>
        <w:jc w:val="center"/>
      </w:pPr>
      <w:r>
        <w:rPr>
          <w:rFonts w:ascii="Arial" w:cs="Arial" w:eastAsia="Arial" w:hAnsi="Arial"/>
          <w:b/>
          <w:bCs/>
          <w:color w:val="1F3864"/>
          <w:sz w:val="48"/>
          <w:szCs w:val="48"/>
        </w:rPr>
        <w:t xml:space="preserve">Interview Preparation Guide</w:t>
      </w:r>
    </w:p>
    <w:p>
      <w:pPr>
        <w:jc w:val="center"/>
      </w:pPr>
      <w:r>
        <w:rPr>
          <w:rFonts w:ascii="Arial" w:cs="Arial" w:eastAsia="Arial" w:hAnsi="Arial"/>
          <w:color w:val="555555"/>
          <w:sz w:val="22"/>
          <w:szCs w:val="22"/>
        </w:rPr>
        <w:t xml:space="preserve">Leadership | S/4HANA | BTP | Integration | Solution Architecture</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6E4F0" w:val="clear"/>
            <w:tcMar>
              <w:top w:type="dxa" w:w="200"/>
              <w:left w:type="dxa" w:w="400"/>
              <w:bottom w:type="dxa" w:w="200"/>
              <w:right w:type="dxa" w:w="400"/>
            </w:tcMar>
          </w:tcPr>
          <w:p>
            <w:pPr>
              <w:jc w:val="center"/>
            </w:pPr>
            <w:r>
              <w:rPr>
                <w:rFonts w:ascii="Arial" w:cs="Arial" w:eastAsia="Arial" w:hAnsi="Arial"/>
                <w:b/>
                <w:bCs/>
                <w:color w:val="1F3864"/>
                <w:sz w:val="22"/>
                <w:szCs w:val="22"/>
              </w:rPr>
              <w:t xml:space="preserve">Prepared for: Ganesh | Senior SAP Solution Architect &amp; Manager</w:t>
            </w:r>
          </w:p>
          <w:p>
            <w:pPr>
              <w:spacing w:before="80"/>
              <w:jc w:val="center"/>
            </w:pPr>
            <w:r>
              <w:rPr>
                <w:rFonts w:ascii="Arial" w:cs="Arial" w:eastAsia="Arial" w:hAnsi="Arial"/>
                <w:color w:val="444444"/>
                <w:sz w:val="20"/>
                <w:szCs w:val="20"/>
              </w:rPr>
              <w:t xml:space="preserve">22 Questions | 6 Core Topic Areas | STAR Responses + Expert Tips</w:t>
            </w:r>
          </w:p>
        </w:tc>
      </w:tr>
    </w:tbl>
    <w:p>
      <w:pPr>
        <w:spacing w:before="0" w:after="300"/>
      </w:pPr>
      <w:r>
        <w:t xml:space="preserve"/>
      </w:r>
    </w:p>
    <w:p>
      <w:pPr>
        <w:pBdr>
          <w:bottom w:val="single" w:color="2E74B5" w:sz="6" w:space="4"/>
        </w:pBdr>
        <w:spacing w:before="200" w:after="80"/>
      </w:pPr>
      <w:r>
        <w:rPr>
          <w:rFonts w:ascii="Arial" w:cs="Arial" w:eastAsia="Arial" w:hAnsi="Arial"/>
          <w:b/>
          <w:bCs/>
          <w:color w:val="1F3864"/>
          <w:sz w:val="24"/>
          <w:szCs w:val="24"/>
        </w:rPr>
        <w:t xml:space="preserve">SECTIONS COVERED</w:t>
      </w:r>
    </w:p>
    <w:p>
      <w:pPr>
        <w:spacing w:before="60" w:after="60"/>
      </w:pPr>
      <w:r>
        <w:rPr>
          <w:rFonts w:ascii="Arial" w:cs="Arial" w:eastAsia="Arial" w:hAnsi="Arial"/>
          <w:b/>
          <w:bCs/>
          <w:color w:val="2E74B5"/>
          <w:sz w:val="20"/>
          <w:szCs w:val="20"/>
        </w:rPr>
        <w:t xml:space="preserve">1.  </w:t>
      </w:r>
      <w:r>
        <w:rPr>
          <w:rFonts w:ascii="Arial" w:cs="Arial" w:eastAsia="Arial" w:hAnsi="Arial"/>
          <w:sz w:val="20"/>
          <w:szCs w:val="20"/>
        </w:rPr>
        <w:t xml:space="preserve">Section 1: Leadership &amp; Digital Transformation (Q1–Q4)</w:t>
      </w:r>
    </w:p>
    <w:p>
      <w:pPr>
        <w:spacing w:before="60" w:after="60"/>
      </w:pPr>
      <w:r>
        <w:rPr>
          <w:rFonts w:ascii="Arial" w:cs="Arial" w:eastAsia="Arial" w:hAnsi="Arial"/>
          <w:b/>
          <w:bCs/>
          <w:color w:val="2E74B5"/>
          <w:sz w:val="20"/>
          <w:szCs w:val="20"/>
        </w:rPr>
        <w:t xml:space="preserve">2.  </w:t>
      </w:r>
      <w:r>
        <w:rPr>
          <w:rFonts w:ascii="Arial" w:cs="Arial" w:eastAsia="Arial" w:hAnsi="Arial"/>
          <w:sz w:val="20"/>
          <w:szCs w:val="20"/>
        </w:rPr>
        <w:t xml:space="preserve">Section 2: S/4HANA &amp; ABAP Cloud Development (Q5–Q9)</w:t>
      </w:r>
    </w:p>
    <w:p>
      <w:pPr>
        <w:spacing w:before="60" w:after="60"/>
      </w:pPr>
      <w:r>
        <w:rPr>
          <w:rFonts w:ascii="Arial" w:cs="Arial" w:eastAsia="Arial" w:hAnsi="Arial"/>
          <w:b/>
          <w:bCs/>
          <w:color w:val="2E74B5"/>
          <w:sz w:val="20"/>
          <w:szCs w:val="20"/>
        </w:rPr>
        <w:t xml:space="preserve">3.  </w:t>
      </w:r>
      <w:r>
        <w:rPr>
          <w:rFonts w:ascii="Arial" w:cs="Arial" w:eastAsia="Arial" w:hAnsi="Arial"/>
          <w:sz w:val="20"/>
          <w:szCs w:val="20"/>
        </w:rPr>
        <w:t xml:space="preserve">Section 3: Fiori / UI5 Development (Q10–Q12)</w:t>
      </w:r>
    </w:p>
    <w:p>
      <w:pPr>
        <w:spacing w:before="60" w:after="60"/>
      </w:pPr>
      <w:r>
        <w:rPr>
          <w:rFonts w:ascii="Arial" w:cs="Arial" w:eastAsia="Arial" w:hAnsi="Arial"/>
          <w:b/>
          <w:bCs/>
          <w:color w:val="2E74B5"/>
          <w:sz w:val="20"/>
          <w:szCs w:val="20"/>
        </w:rPr>
        <w:t xml:space="preserve">4.  </w:t>
      </w:r>
      <w:r>
        <w:rPr>
          <w:rFonts w:ascii="Arial" w:cs="Arial" w:eastAsia="Arial" w:hAnsi="Arial"/>
          <w:sz w:val="20"/>
          <w:szCs w:val="20"/>
        </w:rPr>
        <w:t xml:space="preserve">Section 4: BTP Extension Suite — CAP, RAP, Build Apps (Q13–Q16)</w:t>
      </w:r>
    </w:p>
    <w:p>
      <w:pPr>
        <w:spacing w:before="60" w:after="60"/>
      </w:pPr>
      <w:r>
        <w:rPr>
          <w:rFonts w:ascii="Arial" w:cs="Arial" w:eastAsia="Arial" w:hAnsi="Arial"/>
          <w:b/>
          <w:bCs/>
          <w:color w:val="2E74B5"/>
          <w:sz w:val="20"/>
          <w:szCs w:val="20"/>
        </w:rPr>
        <w:t xml:space="preserve">5.  </w:t>
      </w:r>
      <w:r>
        <w:rPr>
          <w:rFonts w:ascii="Arial" w:cs="Arial" w:eastAsia="Arial" w:hAnsi="Arial"/>
          <w:sz w:val="20"/>
          <w:szCs w:val="20"/>
        </w:rPr>
        <w:t xml:space="preserve">Section 5: BTP Integration Suite (Q17–Q19)</w:t>
      </w:r>
    </w:p>
    <w:p>
      <w:pPr>
        <w:spacing w:before="60" w:after="60"/>
      </w:pPr>
      <w:r>
        <w:rPr>
          <w:rFonts w:ascii="Arial" w:cs="Arial" w:eastAsia="Arial" w:hAnsi="Arial"/>
          <w:b/>
          <w:bCs/>
          <w:color w:val="2E74B5"/>
          <w:sz w:val="20"/>
          <w:szCs w:val="20"/>
        </w:rPr>
        <w:t xml:space="preserve">6.  </w:t>
      </w:r>
      <w:r>
        <w:rPr>
          <w:rFonts w:ascii="Arial" w:cs="Arial" w:eastAsia="Arial" w:hAnsi="Arial"/>
          <w:sz w:val="20"/>
          <w:szCs w:val="20"/>
        </w:rPr>
        <w:t xml:space="preserve">Section 6: Solution Architecture &amp; Project Delivery (Q20–Q22)</w:t>
      </w:r>
    </w:p>
    <w:p>
      <w:pPr>
        <w:spacing w:before="0" w:after="200"/>
      </w:pPr>
      <w:r>
        <w:t xml:space="preserve"/>
      </w:r>
    </w:p>
    <w:p>
      <w:pPr>
        <w:spacing w:before="200" w:after="80"/>
      </w:pPr>
      <w:r>
        <w:rPr>
          <w:rFonts w:ascii="Arial" w:cs="Arial" w:eastAsia="Arial" w:hAnsi="Arial"/>
          <w:b/>
          <w:bCs/>
          <w:color w:val="1E6B3C"/>
          <w:sz w:val="22"/>
          <w:szCs w:val="22"/>
        </w:rPr>
        <w:t xml:space="preserve">KEY PROOF POINTS — Use These Throughout</w:t>
      </w:r>
    </w:p>
    <w:p>
      <w:pPr>
        <w:pStyle w:val="ListParagraph"/>
        <w:numPr>
          <w:ilvl w:val="0"/>
          <w:numId w:val="2"/>
        </w:numPr>
        <w:spacing w:before="40" w:after="40"/>
      </w:pPr>
      <w:r>
        <w:rPr>
          <w:rFonts w:ascii="Arial" w:cs="Arial" w:eastAsia="Arial" w:hAnsi="Arial"/>
          <w:b w:val="false"/>
          <w:bCs w:val="false"/>
          <w:sz w:val="20"/>
          <w:szCs w:val="20"/>
        </w:rPr>
        <w:t xml:space="preserve">168 zero-defect Clean Core ABAP objects delivered at Amgen — zero upgrade-blocking customizations</w:t>
      </w:r>
    </w:p>
    <w:p>
      <w:pPr>
        <w:pStyle w:val="ListParagraph"/>
        <w:numPr>
          <w:ilvl w:val="0"/>
          <w:numId w:val="2"/>
        </w:numPr>
        <w:spacing w:before="40" w:after="40"/>
      </w:pPr>
      <w:r>
        <w:rPr>
          <w:rFonts w:ascii="Arial" w:cs="Arial" w:eastAsia="Arial" w:hAnsi="Arial"/>
          <w:b w:val="false"/>
          <w:bCs w:val="false"/>
          <w:sz w:val="20"/>
          <w:szCs w:val="20"/>
        </w:rPr>
        <w:t xml:space="preserve">62 Clean Core objects at Johnson Controls — same methodology, second proof of repeatability</w:t>
      </w:r>
    </w:p>
    <w:p>
      <w:pPr>
        <w:pStyle w:val="ListParagraph"/>
        <w:numPr>
          <w:ilvl w:val="0"/>
          <w:numId w:val="2"/>
        </w:numPr>
        <w:spacing w:before="40" w:after="40"/>
      </w:pPr>
      <w:r>
        <w:rPr>
          <w:rFonts w:ascii="Arial" w:cs="Arial" w:eastAsia="Arial" w:hAnsi="Arial"/>
          <w:b w:val="false"/>
          <w:bCs w:val="false"/>
          <w:sz w:val="20"/>
          <w:szCs w:val="20"/>
        </w:rPr>
        <w:t xml:space="preserve">15x HANA performance improvement via AMDP in ATTP serialization (45s → 3s)</w:t>
      </w:r>
    </w:p>
    <w:p>
      <w:pPr>
        <w:pStyle w:val="ListParagraph"/>
        <w:numPr>
          <w:ilvl w:val="0"/>
          <w:numId w:val="2"/>
        </w:numPr>
        <w:spacing w:before="40" w:after="40"/>
      </w:pPr>
      <w:r>
        <w:rPr>
          <w:rFonts w:ascii="Arial" w:cs="Arial" w:eastAsia="Arial" w:hAnsi="Arial"/>
          <w:b w:val="false"/>
          <w:bCs w:val="false"/>
          <w:sz w:val="20"/>
          <w:szCs w:val="20"/>
        </w:rPr>
        <w:t xml:space="preserve">99.97% integration message delivery rate across 2M+ monthly messages</w:t>
      </w:r>
    </w:p>
    <w:p>
      <w:pPr>
        <w:pStyle w:val="ListParagraph"/>
        <w:numPr>
          <w:ilvl w:val="0"/>
          <w:numId w:val="2"/>
        </w:numPr>
        <w:spacing w:before="40" w:after="40"/>
      </w:pPr>
      <w:r>
        <w:rPr>
          <w:rFonts w:ascii="Arial" w:cs="Arial" w:eastAsia="Arial" w:hAnsi="Arial"/>
          <w:b w:val="false"/>
          <w:bCs w:val="false"/>
          <w:sz w:val="20"/>
          <w:szCs w:val="20"/>
        </w:rPr>
        <w:t xml:space="preserve">8.2s → 1.4s Fiori app load time via CDS push-down and selective field loading</w:t>
      </w:r>
    </w:p>
    <w:p>
      <w:pPr>
        <w:pStyle w:val="ListParagraph"/>
        <w:numPr>
          <w:ilvl w:val="0"/>
          <w:numId w:val="2"/>
        </w:numPr>
        <w:spacing w:before="40" w:after="40"/>
      </w:pPr>
      <w:r>
        <w:rPr>
          <w:rFonts w:ascii="Arial" w:cs="Arial" w:eastAsia="Arial" w:hAnsi="Arial"/>
          <w:b w:val="false"/>
          <w:bCs w:val="false"/>
          <w:sz w:val="20"/>
          <w:szCs w:val="20"/>
        </w:rPr>
        <w:t xml:space="preserve">GR-to-Invoice cycle: 3 days → 4 hours via BTP Build Process Automation</w:t>
      </w:r>
    </w:p>
    <w:p>
      <w:pPr>
        <w:pStyle w:val="ListParagraph"/>
        <w:numPr>
          <w:ilvl w:val="0"/>
          <w:numId w:val="2"/>
        </w:numPr>
        <w:spacing w:before="40" w:after="40"/>
      </w:pPr>
      <w:r>
        <w:rPr>
          <w:rFonts w:ascii="Arial" w:cs="Arial" w:eastAsia="Arial" w:hAnsi="Arial"/>
          <w:b w:val="false"/>
          <w:bCs w:val="false"/>
          <w:sz w:val="20"/>
          <w:szCs w:val="20"/>
        </w:rPr>
        <w:t xml:space="preserve">70% reduction in manual invoice entry via Document Information Extraction (DOX)</w:t>
      </w:r>
    </w:p>
    <w:p>
      <w:pPr>
        <w:pStyle w:val="ListParagraph"/>
        <w:numPr>
          <w:ilvl w:val="0"/>
          <w:numId w:val="2"/>
        </w:numPr>
        <w:spacing w:before="40" w:after="40"/>
      </w:pPr>
      <w:r>
        <w:rPr>
          <w:rFonts w:ascii="Arial" w:cs="Arial" w:eastAsia="Arial" w:hAnsi="Arial"/>
          <w:b w:val="false"/>
          <w:bCs w:val="false"/>
          <w:sz w:val="20"/>
          <w:szCs w:val="20"/>
        </w:rPr>
        <w:t xml:space="preserve">0 extension downtime across 3 consecutive S/4HANA quarterly upgrades</w:t>
      </w:r>
    </w:p>
    <w:p>
      <w:pPr>
        <w:pStyle w:val="ListParagraph"/>
        <w:numPr>
          <w:ilvl w:val="0"/>
          <w:numId w:val="2"/>
        </w:numPr>
        <w:spacing w:before="40" w:after="40"/>
      </w:pPr>
      <w:r>
        <w:rPr>
          <w:rFonts w:ascii="Arial" w:cs="Arial" w:eastAsia="Arial" w:hAnsi="Arial"/>
          <w:b w:val="false"/>
          <w:bCs w:val="false"/>
          <w:sz w:val="20"/>
          <w:szCs w:val="20"/>
        </w:rPr>
        <w:t xml:space="preserve">52+ person globally distributed team across 7 end-to-end S/4HANA implementations</w:t>
      </w:r>
    </w:p>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120"/>
            </w:tcMar>
          </w:tcPr>
          <w:p>
            <w:r>
              <w:rPr>
                <w:rFonts w:ascii="Arial" w:cs="Arial" w:eastAsia="Arial" w:hAnsi="Arial"/>
                <w:b/>
                <w:bCs/>
                <w:color w:val="FFFFFF"/>
                <w:sz w:val="28"/>
                <w:szCs w:val="28"/>
              </w:rPr>
              <w:t xml:space="preserve">SECTION 1: Leadership &amp; Digital Transformation</w:t>
            </w:r>
          </w:p>
        </w:tc>
      </w:tr>
    </w:tbl>
    <w:p>
      <w:pPr>
        <w:spacing w:before="0" w:after="12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Q1: Describe a time you served as the technical authority on an SAP transformation project. How did you align stakeholders across business and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E74B5" w:sz="1"/>
              <w:left w:val="single" w:color="2E74B5" w:sz="1"/>
              <w:bottom w:val="single" w:color="2E74B5" w:sz="1"/>
              <w:right w:val="single" w:color="2E74B5" w:sz="1"/>
            </w:tcBorders>
            <w:shd w:fill="2E74B5" w:val="clear"/>
            <w:tcMar>
              <w:top w:type="dxa" w:w="80"/>
              <w:left w:type="dxa" w:w="180"/>
              <w:bottom w:type="dxa" w:w="80"/>
              <w:right w:type="dxa" w:w="120"/>
            </w:tcMar>
          </w:tcPr>
          <w:p>
            <w:r>
              <w:rPr>
                <w:rFonts w:ascii="Arial" w:cs="Arial" w:eastAsia="Arial" w:hAnsi="Arial"/>
                <w:b/>
                <w:bCs/>
                <w:color w:val="FFFFFF"/>
                <w:sz w:val="22"/>
                <w:szCs w:val="22"/>
              </w:rPr>
              <w:t xml:space="preserve">STAR Response</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SITUATION</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At Amgen, we undertook a large-scale S/4HANA Brownfield migration covering MM, SD, EWM, and ATTP across 3 manufacturing sites. The project had 14+ business stakeholder groups ranging from supply chain to regulatory affairs, each with conflicting priorities.</w:t>
            </w:r>
          </w:p>
        </w:tc>
      </w:tr>
      <w:tr>
        <w:tc>
          <w:tcPr>
            <w:tcW w:type="dxa" w:w="1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1E6B3C"/>
                <w:sz w:val="20"/>
                <w:szCs w:val="20"/>
              </w:rPr>
              <w:t xml:space="preserve">TASK</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As the SAP Solution Architect and technical authority, I was accountable for all architectural decisions, governing 168 Clean Core ABAP objects, and ensuring business and IT were aligned on scope, design, and delivery timelines.</w:t>
            </w:r>
          </w:p>
        </w:tc>
      </w:tr>
      <w:tr>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b/>
                <w:bCs/>
                <w:color w:val="843C0C"/>
                <w:sz w:val="20"/>
                <w:szCs w:val="20"/>
              </w:rPr>
              <w:t xml:space="preserve">ACTION</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I established an Architecture Review Board (ARB) with weekly cadence, introduced a tiered decision framework — classifying changes as Standard Config, In-App Extension, or BTP Side-by-Side — and used a RAG-status architecture decision log accessible to all stakeholders. I facilitated joint workshops (business + IT) for critical design decisions, translating technical constraints into business impact language. I also created executive-ready architecture summaries to keep leadership aligned.</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Delivered 168 Clean Core compliant objects with zero upgrade-blocking customizations. Achieved stakeholder sign-off on all architecture decisions within agreed timelines. The project achieved zero critical defects at go-live, and the architecture became a reusable blueprint for Johnson Controls (62 Clean Core objects).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Emphasize the ARB structure and decision classification framework</w:t>
            </w:r>
          </w:p>
          <w:p>
            <w:pPr>
              <w:pStyle w:val="ListParagraph"/>
              <w:numPr>
                <w:ilvl w:val="0"/>
                <w:numId w:val="2"/>
              </w:numPr>
              <w:spacing w:before="40" w:after="40"/>
            </w:pPr>
            <w:r>
              <w:rPr>
                <w:rFonts w:ascii="Arial" w:cs="Arial" w:eastAsia="Arial" w:hAnsi="Arial"/>
                <w:sz w:val="20"/>
                <w:szCs w:val="20"/>
              </w:rPr>
              <w:t xml:space="preserve">Highlight 'translating technical to business language' — key differentiator</w:t>
            </w:r>
          </w:p>
          <w:p>
            <w:pPr>
              <w:pStyle w:val="ListParagraph"/>
              <w:numPr>
                <w:ilvl w:val="0"/>
                <w:numId w:val="2"/>
              </w:numPr>
              <w:spacing w:before="40" w:after="40"/>
            </w:pPr>
            <w:r>
              <w:rPr>
                <w:rFonts w:ascii="Arial" w:cs="Arial" w:eastAsia="Arial" w:hAnsi="Arial"/>
                <w:sz w:val="20"/>
                <w:szCs w:val="20"/>
              </w:rPr>
              <w:t xml:space="preserve">Anchor with the 168 zero-defect Clean Core proof point</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Q2: How do you drive adoption of new SAP technologies (like BTP or Fiori) among teams resistant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E74B5" w:sz="1"/>
              <w:left w:val="single" w:color="2E74B5" w:sz="1"/>
              <w:bottom w:val="single" w:color="2E74B5" w:sz="1"/>
              <w:right w:val="single" w:color="2E74B5" w:sz="1"/>
            </w:tcBorders>
            <w:shd w:fill="2E74B5" w:val="clear"/>
            <w:tcMar>
              <w:top w:type="dxa" w:w="80"/>
              <w:left w:type="dxa" w:w="180"/>
              <w:bottom w:type="dxa" w:w="80"/>
              <w:right w:type="dxa" w:w="120"/>
            </w:tcMar>
          </w:tcPr>
          <w:p>
            <w:r>
              <w:rPr>
                <w:rFonts w:ascii="Arial" w:cs="Arial" w:eastAsia="Arial" w:hAnsi="Arial"/>
                <w:b/>
                <w:bCs/>
                <w:color w:val="FFFFFF"/>
                <w:sz w:val="22"/>
                <w:szCs w:val="22"/>
              </w:rPr>
              <w:t xml:space="preserve">STAR Response</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SITUATION</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At Johnson Controls, the development team was deeply entrenched in classical ABAP and skeptical about transitioning to BTP Integration Suite and Fiori-based UX — viewing it as added complexity with limited business value.</w:t>
            </w:r>
          </w:p>
        </w:tc>
      </w:tr>
      <w:tr>
        <w:tc>
          <w:tcPr>
            <w:tcW w:type="dxa" w:w="1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1E6B3C"/>
                <w:sz w:val="20"/>
                <w:szCs w:val="20"/>
              </w:rPr>
              <w:t xml:space="preserve">TASK</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As the lead architect, I needed to drive a cultural and technical shift toward Clean Core and BTP-first design while maintaining team productivity and delivery velocity.</w:t>
            </w:r>
          </w:p>
        </w:tc>
      </w:tr>
      <w:tr>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b/>
                <w:bCs/>
                <w:color w:val="843C0C"/>
                <w:sz w:val="20"/>
                <w:szCs w:val="20"/>
              </w:rPr>
              <w:t xml:space="preserve">ACTION</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I used a three-pronged approach: (1) Evidence — I ran a proof-of-concept comparing a classical ABAP report vs. a CDS View-backed Fiori Elements app, demonstrating 60% faster build time. (2) Education — structured hands-on workshops on RAP, CDS Annotations, and BTP Integration Suite iFlows. (3) Early wins — I identified a low-risk but high-visibility use case (vendor invoice status tracking) and built it on BTP/Fiori, showcasing the outcome to leadership. This created internal champions.</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Within 6 months, team BTP adoption went from 0 to 8 certified developers. The Fiori app was adopted by 200+ users across procurement. Resistance to Clean Core fell dramatically and BTP became the default for new development.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The 3-pronged approach (Evidence, Education, Early Wins) is memorable and structured</w:t>
            </w:r>
          </w:p>
          <w:p>
            <w:pPr>
              <w:pStyle w:val="ListParagraph"/>
              <w:numPr>
                <w:ilvl w:val="0"/>
                <w:numId w:val="2"/>
              </w:numPr>
              <w:spacing w:before="40" w:after="40"/>
            </w:pPr>
            <w:r>
              <w:rPr>
                <w:rFonts w:ascii="Arial" w:cs="Arial" w:eastAsia="Arial" w:hAnsi="Arial"/>
                <w:sz w:val="20"/>
                <w:szCs w:val="20"/>
              </w:rPr>
              <w:t xml:space="preserve">Certifications as a metric resonates with technical interviewers</w:t>
            </w:r>
          </w:p>
          <w:p>
            <w:pPr>
              <w:pStyle w:val="ListParagraph"/>
              <w:numPr>
                <w:ilvl w:val="0"/>
                <w:numId w:val="2"/>
              </w:numPr>
              <w:spacing w:before="40" w:after="40"/>
            </w:pPr>
            <w:r>
              <w:rPr>
                <w:rFonts w:ascii="Arial" w:cs="Arial" w:eastAsia="Arial" w:hAnsi="Arial"/>
                <w:sz w:val="20"/>
                <w:szCs w:val="20"/>
              </w:rPr>
              <w:t xml:space="preserve">Frame it as 'creating champions' not 'mandating change'</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Q3: Walk me through how you governed solution architecture decisions on a large S/4HANA migration. What was your decision-making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E74B5" w:sz="1"/>
              <w:left w:val="single" w:color="2E74B5" w:sz="1"/>
              <w:bottom w:val="single" w:color="2E74B5" w:sz="1"/>
              <w:right w:val="single" w:color="2E74B5" w:sz="1"/>
            </w:tcBorders>
            <w:shd w:fill="2E74B5" w:val="clear"/>
            <w:tcMar>
              <w:top w:type="dxa" w:w="80"/>
              <w:left w:type="dxa" w:w="180"/>
              <w:bottom w:type="dxa" w:w="80"/>
              <w:right w:type="dxa" w:w="120"/>
            </w:tcMar>
          </w:tcPr>
          <w:p>
            <w:r>
              <w:rPr>
                <w:rFonts w:ascii="Arial" w:cs="Arial" w:eastAsia="Arial" w:hAnsi="Arial"/>
                <w:b/>
                <w:bCs/>
                <w:color w:val="FFFFFF"/>
                <w:sz w:val="22"/>
                <w:szCs w:val="22"/>
              </w:rPr>
              <w:t xml:space="preserve">STAR Response</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SITUATION</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On the Amgen S/4HANA migration, the volume of design decisions was enormous — covering integrations, custom developments, data migration, and Fiori UX — with multiple work streams operating in parallel.</w:t>
            </w:r>
          </w:p>
        </w:tc>
      </w:tr>
      <w:tr>
        <w:tc>
          <w:tcPr>
            <w:tcW w:type="dxa" w:w="1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1E6B3C"/>
                <w:sz w:val="20"/>
                <w:szCs w:val="20"/>
              </w:rPr>
              <w:t xml:space="preserve">TASK</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I needed a scalable governance framework that prevented conflicting decisions, ensured Clean Core compliance, and gave leadership visibility without creating bottlenecks.</w:t>
            </w:r>
          </w:p>
        </w:tc>
      </w:tr>
      <w:tr>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b/>
                <w:bCs/>
                <w:color w:val="843C0C"/>
                <w:sz w:val="20"/>
                <w:szCs w:val="20"/>
              </w:rPr>
              <w:t xml:space="preserve">ACTION</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I implemented a 3-tier decision framework: Tier 1 (Standard Configuration — fully delegated to functional leads), Tier 2 (In-App Extensions using RAP/CDS — reviewed in weekly ARB), Tier 3 (BTP Side-by-Side or third-party integrations — required my direct approval and architecture sign-off). All decisions were logged in a structured Architecture Decision Record (ADR) with rationale, alternatives considered, and risk assessment. I also enforced a Clean Core compliance gate in the CI/CD pipeline using ABAP Test Cockpit (ATC).</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Zero rework due to conflicting decisions across 14+ work streams. ATC gate caught and remediated 23 potential upgrade risks before they reached production. The ADR log became the single source of truth, referenced throughout hypercare and post-go-live.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The 3-tier framework is a concrete, repeatable answer — interviewers love specificity</w:t>
            </w:r>
          </w:p>
          <w:p>
            <w:pPr>
              <w:pStyle w:val="ListParagraph"/>
              <w:numPr>
                <w:ilvl w:val="0"/>
                <w:numId w:val="2"/>
              </w:numPr>
              <w:spacing w:before="40" w:after="40"/>
            </w:pPr>
            <w:r>
              <w:rPr>
                <w:rFonts w:ascii="Arial" w:cs="Arial" w:eastAsia="Arial" w:hAnsi="Arial"/>
                <w:sz w:val="20"/>
                <w:szCs w:val="20"/>
              </w:rPr>
              <w:t xml:space="preserve">ATC in CI/CD pipeline shows modern DevOps thinking</w:t>
            </w:r>
          </w:p>
          <w:p>
            <w:pPr>
              <w:pStyle w:val="ListParagraph"/>
              <w:numPr>
                <w:ilvl w:val="0"/>
                <w:numId w:val="2"/>
              </w:numPr>
              <w:spacing w:before="40" w:after="40"/>
            </w:pPr>
            <w:r>
              <w:rPr>
                <w:rFonts w:ascii="Arial" w:cs="Arial" w:eastAsia="Arial" w:hAnsi="Arial"/>
                <w:sz w:val="20"/>
                <w:szCs w:val="20"/>
              </w:rPr>
              <w:t xml:space="preserve">ADR (Architecture Decision Record) is industry-standard terminology — use it</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Q4: How do you balance technical debt vs. innovation when leading SAP development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E74B5" w:sz="1"/>
              <w:left w:val="single" w:color="2E74B5" w:sz="1"/>
              <w:bottom w:val="single" w:color="2E74B5" w:sz="1"/>
              <w:right w:val="single" w:color="2E74B5" w:sz="1"/>
            </w:tcBorders>
            <w:shd w:fill="2E74B5" w:val="clear"/>
            <w:tcMar>
              <w:top w:type="dxa" w:w="80"/>
              <w:left w:type="dxa" w:w="180"/>
              <w:bottom w:type="dxa" w:w="80"/>
              <w:right w:type="dxa" w:w="120"/>
            </w:tcMar>
          </w:tcPr>
          <w:p>
            <w:r>
              <w:rPr>
                <w:rFonts w:ascii="Arial" w:cs="Arial" w:eastAsia="Arial" w:hAnsi="Arial"/>
                <w:b/>
                <w:bCs/>
                <w:color w:val="FFFFFF"/>
                <w:sz w:val="22"/>
                <w:szCs w:val="22"/>
              </w:rPr>
              <w:t xml:space="preserve">STAR Response</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SITUATION</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During the Johnson Controls engagement, we had inherited significant technical debt — 400+ legacy RICEF objects in ECC that had no documentation and were business-critical, while the business was pushing for new Fiori dashboards and BTP automation.</w:t>
            </w:r>
          </w:p>
        </w:tc>
      </w:tr>
      <w:tr>
        <w:tc>
          <w:tcPr>
            <w:tcW w:type="dxa" w:w="1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1E6B3C"/>
                <w:sz w:val="20"/>
                <w:szCs w:val="20"/>
              </w:rPr>
              <w:t xml:space="preserve">TASK</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I needed to sequence technical debt remediation alongside innovation delivery without halting business momentum.</w:t>
            </w:r>
          </w:p>
        </w:tc>
      </w:tr>
      <w:tr>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b/>
                <w:bCs/>
                <w:color w:val="843C0C"/>
                <w:sz w:val="20"/>
                <w:szCs w:val="20"/>
              </w:rPr>
              <w:t xml:space="preserve">ACTION</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I introduced a 70/20/10 sprint allocation model: 70% on migration and debt remediation (converting legacy objects to Clean Core equivalents), 20% on innovation (new BTP/Fiori features), and 10% on architectural foundation work (CDS modeling, API design standards). I built a technical debt backlog prioritized by upgrade risk (using SAP Readiness Check) and business criticality. Legacy objects deemed low-risk were retired rather than migrated. Innovation projects were selected based on ROI and reusability.</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Reduced technical debt backlog by 62% over 8 months. Delivered 3 net-new Fiori apps within the same period. Architecture debt that had accumulated over 10 years was systematically resolved without a single sprint freeze.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The 70/20/10 model is tangible and easy for non-technical stakeholders to grasp</w:t>
            </w:r>
          </w:p>
          <w:p>
            <w:pPr>
              <w:pStyle w:val="ListParagraph"/>
              <w:numPr>
                <w:ilvl w:val="0"/>
                <w:numId w:val="2"/>
              </w:numPr>
              <w:spacing w:before="40" w:after="40"/>
            </w:pPr>
            <w:r>
              <w:rPr>
                <w:rFonts w:ascii="Arial" w:cs="Arial" w:eastAsia="Arial" w:hAnsi="Arial"/>
                <w:sz w:val="20"/>
                <w:szCs w:val="20"/>
              </w:rPr>
              <w:t xml:space="preserve">SAP Readiness Check as a prioritization tool shows tool proficiency</w:t>
            </w:r>
          </w:p>
          <w:p>
            <w:pPr>
              <w:pStyle w:val="ListParagraph"/>
              <w:numPr>
                <w:ilvl w:val="0"/>
                <w:numId w:val="2"/>
              </w:numPr>
              <w:spacing w:before="40" w:after="40"/>
            </w:pPr>
            <w:r>
              <w:rPr>
                <w:rFonts w:ascii="Arial" w:cs="Arial" w:eastAsia="Arial" w:hAnsi="Arial"/>
                <w:sz w:val="20"/>
                <w:szCs w:val="20"/>
              </w:rPr>
              <w:t xml:space="preserve">Tie innovation delivery back to business ROI, not just technical elegance</w:t>
            </w:r>
          </w:p>
        </w:tc>
      </w:tr>
    </w:tbl>
    <w:p>
      <w:pPr>
        <w:spacing w:before="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120"/>
            </w:tcMar>
          </w:tcPr>
          <w:p>
            <w:r>
              <w:rPr>
                <w:rFonts w:ascii="Arial" w:cs="Arial" w:eastAsia="Arial" w:hAnsi="Arial"/>
                <w:b/>
                <w:bCs/>
                <w:color w:val="FFFFFF"/>
                <w:sz w:val="28"/>
                <w:szCs w:val="28"/>
              </w:rPr>
              <w:t xml:space="preserve">SECTION 2: S/4HANA &amp; ABAP Cloud Development</w:t>
            </w:r>
          </w:p>
        </w:tc>
      </w:tr>
    </w:tbl>
    <w:p>
      <w:pPr>
        <w:spacing w:before="0" w:after="12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Q5: What is your approach to choosing between In-App Extensions, Side-by-Side Extensions on BTP, or classical ABAP enhancements in S/4HANA?</w:t>
      </w:r>
    </w:p>
    <w:p>
      <w:pPr>
        <w:spacing w:before="120" w:after="60"/>
      </w:pPr>
      <w:r>
        <w:rPr>
          <w:rFonts w:ascii="Arial" w:cs="Arial" w:eastAsia="Arial" w:hAnsi="Arial"/>
          <w:b/>
          <w:bCs/>
          <w:sz w:val="20"/>
          <w:szCs w:val="20"/>
        </w:rPr>
        <w:t xml:space="preserve">My decision follows SAP's Clean Core extension methodology in a strict hierarchy:</w:t>
      </w:r>
    </w:p>
    <w:p>
      <w:pPr>
        <w:spacing w:before="80" w:after="40"/>
        <w:ind w:left="240"/>
      </w:pPr>
      <w:r>
        <w:rPr>
          <w:rFonts w:ascii="Arial" w:cs="Arial" w:eastAsia="Arial" w:hAnsi="Arial"/>
          <w:b/>
          <w:bCs/>
          <w:color w:val="2E74B5"/>
          <w:sz w:val="20"/>
          <w:szCs w:val="20"/>
        </w:rPr>
        <w:t xml:space="preserve">1. STANDARD CONFIGURATION FIRST: Can the requirement be met via config, BAdI, or released API? If yes — always prefer this. Zero custom code.</w:t>
      </w:r>
    </w:p>
    <w:p>
      <w:pPr>
        <w:spacing w:before="80" w:after="40"/>
        <w:ind w:left="240"/>
      </w:pPr>
      <w:r>
        <w:rPr>
          <w:rFonts w:ascii="Arial" w:cs="Arial" w:eastAsia="Arial" w:hAnsi="Arial"/>
          <w:b/>
          <w:bCs/>
          <w:color w:val="2E74B5"/>
          <w:sz w:val="20"/>
          <w:szCs w:val="20"/>
        </w:rPr>
        <w:t xml:space="preserve">2. IN-APP EXTENSION (Tier 2): When business logic needs to be tightly coupled with core S/4HANA transactional data and ABAP Cloud released APIs cover the use case. I use RAP (Business Object Framework) with CDS-backed entities. Example: extending a sales order workflow with custom approval logic.</w:t>
      </w:r>
    </w:p>
    <w:p>
      <w:pPr>
        <w:spacing w:before="80" w:after="40"/>
        <w:ind w:left="240"/>
      </w:pPr>
      <w:r>
        <w:rPr>
          <w:rFonts w:ascii="Arial" w:cs="Arial" w:eastAsia="Arial" w:hAnsi="Arial"/>
          <w:b/>
          <w:bCs/>
          <w:color w:val="2E74B5"/>
          <w:sz w:val="20"/>
          <w:szCs w:val="20"/>
        </w:rPr>
        <w:t xml:space="preserve">3. SIDE-BY-SIDE EXTENSION ON BTP (Tier 3): When the use case requires third-party integration, advanced UI/UX, AI/ML capabilities, or event-driven processing. Example: AI-powered goods receipt validation using BTP AI Core. BTP extensions are isolated from the core and don't affect upgrade paths.</w:t>
      </w:r>
    </w:p>
    <w:p>
      <w:pPr>
        <w:spacing w:before="80" w:after="40"/>
        <w:ind w:left="240"/>
      </w:pPr>
      <w:r>
        <w:rPr>
          <w:rFonts w:ascii="Arial" w:cs="Arial" w:eastAsia="Arial" w:hAnsi="Arial"/>
          <w:b/>
          <w:bCs/>
          <w:color w:val="2E74B5"/>
          <w:sz w:val="20"/>
          <w:szCs w:val="20"/>
        </w:rPr>
        <w:t xml:space="preserve">4. CLASSICAL ABAP (Last Resort): Only on legacy BTP-incompatible landscapes or where released APIs don't exist. Always documented as technical debt with a remediation plan.</w:t>
      </w:r>
    </w:p>
    <w:p>
      <w:pPr>
        <w:spacing w:before="60" w:after="60"/>
      </w:pPr>
      <w:r>
        <w:rPr>
          <w:rFonts w:ascii="Arial" w:cs="Arial" w:eastAsia="Arial" w:hAnsi="Arial"/>
          <w:b w:val="false"/>
          <w:bCs w:val="false"/>
          <w:sz w:val="20"/>
          <w:szCs w:val="20"/>
        </w:rPr>
        <w:t xml:space="preserve">Key Principle: If a change would require modification of SAP standard objects or use of non-released APIs, it moves automatically to BTP Side-by-Side — no exceptions.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This shows you know the hierarchy and WHY — not just the options</w:t>
            </w:r>
          </w:p>
          <w:p>
            <w:pPr>
              <w:pStyle w:val="ListParagraph"/>
              <w:numPr>
                <w:ilvl w:val="0"/>
                <w:numId w:val="2"/>
              </w:numPr>
              <w:spacing w:before="40" w:after="40"/>
            </w:pPr>
            <w:r>
              <w:rPr>
                <w:rFonts w:ascii="Arial" w:cs="Arial" w:eastAsia="Arial" w:hAnsi="Arial"/>
                <w:sz w:val="20"/>
                <w:szCs w:val="20"/>
              </w:rPr>
              <w:t xml:space="preserve">Mentioning 'released APIs' signals Clean Core maturity</w:t>
            </w:r>
          </w:p>
          <w:p>
            <w:pPr>
              <w:pStyle w:val="ListParagraph"/>
              <w:numPr>
                <w:ilvl w:val="0"/>
                <w:numId w:val="2"/>
              </w:numPr>
              <w:spacing w:before="40" w:after="40"/>
            </w:pPr>
            <w:r>
              <w:rPr>
                <w:rFonts w:ascii="Arial" w:cs="Arial" w:eastAsia="Arial" w:hAnsi="Arial"/>
                <w:sz w:val="20"/>
                <w:szCs w:val="20"/>
              </w:rPr>
              <w:t xml:space="preserve">The 'no exceptions' stance on non-released APIs shows architectural discipline</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Q6: Explain the difference between BOPF and RAP. When would you recommend one over the other?</w:t>
      </w:r>
    </w:p>
    <w:p>
      <w:pPr>
        <w:spacing w:before="60" w:after="60"/>
      </w:pPr>
      <w:r>
        <w:rPr>
          <w:rFonts w:ascii="Arial" w:cs="Arial" w:eastAsia="Arial" w:hAnsi="Arial"/>
          <w:b w:val="false"/>
          <w:bCs w:val="false"/>
          <w:sz w:val="20"/>
          <w:szCs w:val="20"/>
        </w:rPr>
        <w:t xml:space="preserve">BOPF (Business Object Processing Framework) is SAP's legacy framework introduced in S/4HANA's early days. It relies on traditional ABAP, uses BOPF-specific programming model, and is tightly coupled to the ABAP stack. It does not support ABAP Cloud compliance and uses non-released internal APIs.</w:t>
      </w:r>
    </w:p>
    <w:p>
      <w:pPr>
        <w:spacing w:before="60" w:after="60"/>
      </w:pPr>
      <w:r>
        <w:rPr>
          <w:rFonts w:ascii="Arial" w:cs="Arial" w:eastAsia="Arial" w:hAnsi="Arial"/>
          <w:b w:val="false"/>
          <w:bCs w:val="false"/>
          <w:sz w:val="20"/>
          <w:szCs w:val="20"/>
        </w:rPr>
        <w:t xml:space="preserve">RAP (RESTful ABAP Programming Model) is the successor, purpose-built for S/4HANA Cloud and Clean Core. It uses CDS Views as the data model foundation, exposes OData V4 services natively, supports Fiori Elements out of the box, and is ABAP Cloud compliant (Tier 1/2).</w:t>
      </w:r>
    </w:p>
    <w:p>
      <w:pPr>
        <w:spacing w:before="120" w:after="60"/>
      </w:pPr>
      <w:r>
        <w:rPr>
          <w:rFonts w:ascii="Arial" w:cs="Arial" w:eastAsia="Arial" w:hAnsi="Arial"/>
          <w:b/>
          <w:bCs/>
          <w:sz w:val="20"/>
          <w:szCs w:val="20"/>
        </w:rPr>
        <w:t xml:space="preserve">RECOMMENDATION FRAMEWORK:</w:t>
      </w:r>
    </w:p>
    <w:p>
      <w:pPr>
        <w:pStyle w:val="ListParagraph"/>
        <w:numPr>
          <w:ilvl w:val="0"/>
          <w:numId w:val="2"/>
        </w:numPr>
        <w:spacing w:before="40" w:after="40"/>
      </w:pPr>
      <w:r>
        <w:rPr>
          <w:rFonts w:ascii="Arial" w:cs="Arial" w:eastAsia="Arial" w:hAnsi="Arial"/>
          <w:sz w:val="20"/>
          <w:szCs w:val="20"/>
        </w:rPr>
        <w:t xml:space="preserve">Use RAP when: building on S/4HANA Cloud Public/Private Edition, Clean Core compliance is required, you need OData V4/Fiori Elements, or you're building a new business object from scratch.</w:t>
      </w:r>
    </w:p>
    <w:p>
      <w:pPr>
        <w:pStyle w:val="ListParagraph"/>
        <w:numPr>
          <w:ilvl w:val="0"/>
          <w:numId w:val="2"/>
        </w:numPr>
        <w:spacing w:before="40" w:after="40"/>
      </w:pPr>
      <w:r>
        <w:rPr>
          <w:rFonts w:ascii="Arial" w:cs="Arial" w:eastAsia="Arial" w:hAnsi="Arial"/>
          <w:sz w:val="20"/>
          <w:szCs w:val="20"/>
        </w:rPr>
        <w:t xml:space="preserve">Use BOPF when: extending an existing SAP standard object that is built on BOPF and not yet migrated to RAP (e.g., some procurement objects), and only using released extension points. Always flag as technical debt.</w:t>
      </w:r>
    </w:p>
    <w:p>
      <w:pPr>
        <w:pStyle w:val="ListParagraph"/>
        <w:numPr>
          <w:ilvl w:val="0"/>
          <w:numId w:val="2"/>
        </w:numPr>
        <w:spacing w:before="40" w:after="40"/>
      </w:pPr>
      <w:r>
        <w:rPr>
          <w:rFonts w:ascii="Arial" w:cs="Arial" w:eastAsia="Arial" w:hAnsi="Arial"/>
          <w:sz w:val="20"/>
          <w:szCs w:val="20"/>
        </w:rPr>
        <w:t xml:space="preserve">Migration path: I actively migrate BOPF-based custom objects to RAP during S/4HANA upgrades using the RAP Generator as a starting scaffold.</w:t>
      </w:r>
    </w:p>
    <w:p>
      <w:pPr>
        <w:spacing w:before="60" w:after="60"/>
      </w:pPr>
      <w:r>
        <w:rPr>
          <w:rFonts w:ascii="Arial" w:cs="Arial" w:eastAsia="Arial" w:hAnsi="Arial"/>
          <w:b w:val="false"/>
          <w:bCs w:val="false"/>
          <w:sz w:val="20"/>
          <w:szCs w:val="20"/>
        </w:rPr>
        <w:t xml:space="preserve">At Amgen, all 168 custom objects used RAP exclusively — this was a deliberate architectural standard I established.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Interviewers want to see you know RAP is the forward path, not just an option</w:t>
            </w:r>
          </w:p>
          <w:p>
            <w:pPr>
              <w:pStyle w:val="ListParagraph"/>
              <w:numPr>
                <w:ilvl w:val="0"/>
                <w:numId w:val="2"/>
              </w:numPr>
              <w:spacing w:before="40" w:after="40"/>
            </w:pPr>
            <w:r>
              <w:rPr>
                <w:rFonts w:ascii="Arial" w:cs="Arial" w:eastAsia="Arial" w:hAnsi="Arial"/>
                <w:sz w:val="20"/>
                <w:szCs w:val="20"/>
              </w:rPr>
              <w:t xml:space="preserve">The Amgen proof point anchors the theory in real delivery</w:t>
            </w:r>
          </w:p>
          <w:p>
            <w:pPr>
              <w:pStyle w:val="ListParagraph"/>
              <w:numPr>
                <w:ilvl w:val="0"/>
                <w:numId w:val="2"/>
              </w:numPr>
              <w:spacing w:before="40" w:after="40"/>
            </w:pPr>
            <w:r>
              <w:rPr>
                <w:rFonts w:ascii="Arial" w:cs="Arial" w:eastAsia="Arial" w:hAnsi="Arial"/>
                <w:sz w:val="20"/>
                <w:szCs w:val="20"/>
              </w:rPr>
              <w:t xml:space="preserve">Mention RAP Generator — shows hands-on knowledge</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Q7: How have you used CDS Views with Annotations to enable Fiori Elements apps? Walk through a real example.</w:t>
      </w:r>
    </w:p>
    <w:p>
      <w:pPr>
        <w:spacing w:before="60" w:after="60"/>
      </w:pPr>
      <w:r>
        <w:rPr>
          <w:rFonts w:ascii="Arial" w:cs="Arial" w:eastAsia="Arial" w:hAnsi="Arial"/>
          <w:b w:val="false"/>
          <w:bCs w:val="false"/>
          <w:sz w:val="20"/>
          <w:szCs w:val="20"/>
        </w:rPr>
        <w:t xml:space="preserve">CDS (Core Data Services) Views with Annotations are the backbone of the Fiori Elements programming model. Annotations drive UI behavior without writing JavaScript — the framework interprets them at runtime.</w:t>
      </w:r>
    </w:p>
    <w:p>
      <w:pPr>
        <w:spacing w:before="120" w:after="60"/>
      </w:pPr>
      <w:r>
        <w:rPr>
          <w:rFonts w:ascii="Arial" w:cs="Arial" w:eastAsia="Arial" w:hAnsi="Arial"/>
          <w:b/>
          <w:bCs/>
          <w:sz w:val="20"/>
          <w:szCs w:val="20"/>
        </w:rPr>
        <w:t xml:space="preserve">REAL EXAMPLE — Batch Serialization Dashboard at Amgen (ATTP Use Case):</w:t>
      </w:r>
    </w:p>
    <w:p>
      <w:pPr>
        <w:pStyle w:val="ListParagraph"/>
        <w:numPr>
          <w:ilvl w:val="0"/>
          <w:numId w:val="2"/>
        </w:numPr>
        <w:spacing w:before="40" w:after="40"/>
      </w:pPr>
      <w:r>
        <w:rPr>
          <w:rFonts w:ascii="Arial" w:cs="Arial" w:eastAsia="Arial" w:hAnsi="Arial"/>
          <w:sz w:val="20"/>
          <w:szCs w:val="20"/>
        </w:rPr>
        <w:t xml:space="preserve">Data Model: Created a CDS View Stack — Interface View (raw HANA data access), Consumption View (projection with associations), and Value Help Views.</w:t>
      </w:r>
    </w:p>
    <w:p>
      <w:pPr>
        <w:pStyle w:val="ListParagraph"/>
        <w:numPr>
          <w:ilvl w:val="0"/>
          <w:numId w:val="2"/>
        </w:numPr>
        <w:spacing w:before="40" w:after="40"/>
      </w:pPr>
      <w:r>
        <w:rPr>
          <w:rFonts w:ascii="Arial" w:cs="Arial" w:eastAsia="Arial" w:hAnsi="Arial"/>
          <w:sz w:val="20"/>
          <w:szCs w:val="20"/>
        </w:rPr>
        <w:t xml:space="preserve">UI Annotations: Used @UI.lineItem to define List Report columns, @UI.selectionField for filter bar fields, @UI.fieldGroup for Object Page sections, and @UI.chart for embedded analytics.</w:t>
      </w:r>
    </w:p>
    <w:p>
      <w:pPr>
        <w:pStyle w:val="ListParagraph"/>
        <w:numPr>
          <w:ilvl w:val="0"/>
          <w:numId w:val="2"/>
        </w:numPr>
        <w:spacing w:before="40" w:after="40"/>
      </w:pPr>
      <w:r>
        <w:rPr>
          <w:rFonts w:ascii="Arial" w:cs="Arial" w:eastAsia="Arial" w:hAnsi="Arial"/>
          <w:sz w:val="20"/>
          <w:szCs w:val="20"/>
        </w:rPr>
        <w:t xml:space="preserve">OData Exposure: Exposed the CDS Consumption View as an OData V4 service using RAP service definition and binding.</w:t>
      </w:r>
    </w:p>
    <w:p>
      <w:pPr>
        <w:pStyle w:val="ListParagraph"/>
        <w:numPr>
          <w:ilvl w:val="0"/>
          <w:numId w:val="2"/>
        </w:numPr>
        <w:spacing w:before="40" w:after="40"/>
      </w:pPr>
      <w:r>
        <w:rPr>
          <w:rFonts w:ascii="Arial" w:cs="Arial" w:eastAsia="Arial" w:hAnsi="Arial"/>
          <w:sz w:val="20"/>
          <w:szCs w:val="20"/>
        </w:rPr>
        <w:t xml:space="preserve">Search Helps: @Consumption.valueHelpDefinition linked value help CDS views to input fields — no ABAP logic needed.</w:t>
      </w:r>
    </w:p>
    <w:p>
      <w:pPr>
        <w:pStyle w:val="ListParagraph"/>
        <w:numPr>
          <w:ilvl w:val="0"/>
          <w:numId w:val="2"/>
        </w:numPr>
        <w:spacing w:before="40" w:after="40"/>
      </w:pPr>
      <w:r>
        <w:rPr>
          <w:rFonts w:ascii="Arial" w:cs="Arial" w:eastAsia="Arial" w:hAnsi="Arial"/>
          <w:sz w:val="20"/>
          <w:szCs w:val="20"/>
        </w:rPr>
        <w:t xml:space="preserve">Authorization: @AccessControl.authorizationCheck: #CHECK with a DCL (Data Control Language) object enforced row-level security.</w:t>
      </w:r>
    </w:p>
    <w:p>
      <w:pPr>
        <w:spacing w:before="60" w:after="60"/>
      </w:pPr>
      <w:r>
        <w:rPr>
          <w:rFonts w:ascii="Arial" w:cs="Arial" w:eastAsia="Arial" w:hAnsi="Arial"/>
          <w:b w:val="false"/>
          <w:bCs w:val="false"/>
          <w:sz w:val="20"/>
          <w:szCs w:val="20"/>
        </w:rPr>
        <w:t xml:space="preserve">Result: A fully functional Fiori Elements List Report + Object Page for batch serial number tracking, built in 3 sprints, with zero custom JavaScript — 100% annotation-driven. Consumed by QM and regulatory teams across 3 sites.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Walk through the CDS layer architecture (Interface → Consumption → Value Help) — shows depth</w:t>
            </w:r>
          </w:p>
          <w:p>
            <w:pPr>
              <w:pStyle w:val="ListParagraph"/>
              <w:numPr>
                <w:ilvl w:val="0"/>
                <w:numId w:val="2"/>
              </w:numPr>
              <w:spacing w:before="40" w:after="40"/>
            </w:pPr>
            <w:r>
              <w:rPr>
                <w:rFonts w:ascii="Arial" w:cs="Arial" w:eastAsia="Arial" w:hAnsi="Arial"/>
                <w:sz w:val="20"/>
                <w:szCs w:val="20"/>
              </w:rPr>
              <w:t xml:space="preserve">Calling out DCL for row-level security impresses security-conscious interviewers</w:t>
            </w:r>
          </w:p>
          <w:p>
            <w:pPr>
              <w:pStyle w:val="ListParagraph"/>
              <w:numPr>
                <w:ilvl w:val="0"/>
                <w:numId w:val="2"/>
              </w:numPr>
              <w:spacing w:before="40" w:after="40"/>
            </w:pPr>
            <w:r>
              <w:rPr>
                <w:rFonts w:ascii="Arial" w:cs="Arial" w:eastAsia="Arial" w:hAnsi="Arial"/>
                <w:sz w:val="20"/>
                <w:szCs w:val="20"/>
              </w:rPr>
              <w:t xml:space="preserve">'Zero custom JavaScript' is a key Clean Core signal</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Q8: What constraints does ABAP Cloud (Tier 1/2/3 classification) impose, and how did you handle legacy API dependencies during a migration?</w:t>
      </w:r>
    </w:p>
    <w:p>
      <w:pPr>
        <w:spacing w:before="120" w:after="60"/>
      </w:pPr>
      <w:r>
        <w:rPr>
          <w:rFonts w:ascii="Arial" w:cs="Arial" w:eastAsia="Arial" w:hAnsi="Arial"/>
          <w:b/>
          <w:bCs/>
          <w:sz w:val="20"/>
          <w:szCs w:val="20"/>
        </w:rPr>
        <w:t xml:space="preserve">ABAP Cloud enforces a Tier classification of all APIs:</w:t>
      </w:r>
    </w:p>
    <w:p>
      <w:pPr>
        <w:pStyle w:val="ListParagraph"/>
        <w:numPr>
          <w:ilvl w:val="0"/>
          <w:numId w:val="2"/>
        </w:numPr>
        <w:spacing w:before="40" w:after="40"/>
      </w:pPr>
      <w:r>
        <w:rPr>
          <w:rFonts w:ascii="Arial" w:cs="Arial" w:eastAsia="Arial" w:hAnsi="Arial"/>
          <w:sz w:val="20"/>
          <w:szCs w:val="20"/>
        </w:rPr>
        <w:t xml:space="preserve">Tier 1 (Use System-Internally): SAP internal APIs — not available for custom use. Any dependency on these is a compliance violation.</w:t>
      </w:r>
    </w:p>
    <w:p>
      <w:pPr>
        <w:pStyle w:val="ListParagraph"/>
        <w:numPr>
          <w:ilvl w:val="0"/>
          <w:numId w:val="2"/>
        </w:numPr>
        <w:spacing w:before="40" w:after="40"/>
      </w:pPr>
      <w:r>
        <w:rPr>
          <w:rFonts w:ascii="Arial" w:cs="Arial" w:eastAsia="Arial" w:hAnsi="Arial"/>
          <w:sz w:val="20"/>
          <w:szCs w:val="20"/>
        </w:rPr>
        <w:t xml:space="preserve">Tier 2 (Released APIs): Officially released by SAP for customer use (C1 released). Safe for In-App Extensions.</w:t>
      </w:r>
    </w:p>
    <w:p>
      <w:pPr>
        <w:pStyle w:val="ListParagraph"/>
        <w:numPr>
          <w:ilvl w:val="0"/>
          <w:numId w:val="2"/>
        </w:numPr>
        <w:spacing w:before="40" w:after="40"/>
      </w:pPr>
      <w:r>
        <w:rPr>
          <w:rFonts w:ascii="Arial" w:cs="Arial" w:eastAsia="Arial" w:hAnsi="Arial"/>
          <w:sz w:val="20"/>
          <w:szCs w:val="20"/>
        </w:rPr>
        <w:t xml:space="preserve">Tier 3 (Not to be released): Customer-created objects. Stable by definition.</w:t>
      </w:r>
    </w:p>
    <w:p>
      <w:pPr>
        <w:spacing w:before="60" w:after="60"/>
      </w:pPr>
      <w:r>
        <w:rPr>
          <w:rFonts w:ascii="Arial" w:cs="Arial" w:eastAsia="Arial" w:hAnsi="Arial"/>
          <w:b w:val="false"/>
          <w:bCs w:val="false"/>
          <w:sz w:val="20"/>
          <w:szCs w:val="20"/>
        </w:rPr>
        <w:t xml:space="preserve">Key constraint: In ABAP Cloud, you can ONLY use Tier 2 (released) and Tier 3 (own) APIs. Using Tier 1 APIs breaks upgrade compatibility.</w:t>
      </w:r>
    </w:p>
    <w:p>
      <w:pPr>
        <w:spacing w:before="120" w:after="60"/>
      </w:pPr>
      <w:r>
        <w:rPr>
          <w:rFonts w:ascii="Arial" w:cs="Arial" w:eastAsia="Arial" w:hAnsi="Arial"/>
          <w:b/>
          <w:bCs/>
          <w:sz w:val="20"/>
          <w:szCs w:val="20"/>
        </w:rPr>
        <w:t xml:space="preserve">HOW I HANDLED LEGACY API DEPENDENCIES AT AMGEN:</w:t>
      </w:r>
    </w:p>
    <w:p>
      <w:pPr>
        <w:spacing w:before="60" w:after="60"/>
      </w:pPr>
      <w:r>
        <w:rPr>
          <w:rFonts w:ascii="Arial" w:cs="Arial" w:eastAsia="Arial" w:hAnsi="Arial"/>
          <w:b w:val="false"/>
          <w:bCs w:val="false"/>
          <w:sz w:val="20"/>
          <w:szCs w:val="20"/>
        </w:rPr>
        <w:t xml:space="preserve">Step 1 — Discovery: Ran ABAP Test Cockpit (ATC) with the 'Cloud Readiness' check set to identify all non-released API usages in the existing codebase.</w:t>
      </w:r>
    </w:p>
    <w:p>
      <w:pPr>
        <w:spacing w:before="60" w:after="60"/>
      </w:pPr>
      <w:r>
        <w:rPr>
          <w:rFonts w:ascii="Arial" w:cs="Arial" w:eastAsia="Arial" w:hAnsi="Arial"/>
          <w:b w:val="false"/>
          <w:bCs w:val="false"/>
          <w:sz w:val="20"/>
          <w:szCs w:val="20"/>
        </w:rPr>
        <w:t xml:space="preserve">Step 2 — Classification: Categorized findings into: (a) Has a released equivalent — migrate directly; (b) No released equivalent yet — raise SAP influence request and interim use BTP Side-by-Side; (c) Deprecated API — retire the functionality.</w:t>
      </w:r>
    </w:p>
    <w:p>
      <w:pPr>
        <w:spacing w:before="60" w:after="60"/>
      </w:pPr>
      <w:r>
        <w:rPr>
          <w:rFonts w:ascii="Arial" w:cs="Arial" w:eastAsia="Arial" w:hAnsi="Arial"/>
          <w:b w:val="false"/>
          <w:bCs w:val="false"/>
          <w:sz w:val="20"/>
          <w:szCs w:val="20"/>
        </w:rPr>
        <w:t xml:space="preserve">Step 3 — Remediation: For functional module calls with no released API (e.g., some legacy SD pricing routines), I architected a BTP Side-by-Side app using RFC/BAPI bridging via Integration Suite as a temporary measure, with a sunset date.</w:t>
      </w:r>
    </w:p>
    <w:p>
      <w:pPr>
        <w:spacing w:before="60" w:after="60"/>
      </w:pPr>
      <w:r>
        <w:rPr>
          <w:rFonts w:ascii="Arial" w:cs="Arial" w:eastAsia="Arial" w:hAnsi="Arial"/>
          <w:b w:val="false"/>
          <w:bCs w:val="false"/>
          <w:sz w:val="20"/>
          <w:szCs w:val="20"/>
        </w:rPr>
        <w:t xml:space="preserve">Result: Reduced non-released API dependencies from 47 to 0 before go-live. All 168 objects passed ATC Cloud Readiness check.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The 3-step process (Discovery, Classification, Remediation) is crisp and repeatable</w:t>
            </w:r>
          </w:p>
          <w:p>
            <w:pPr>
              <w:pStyle w:val="ListParagraph"/>
              <w:numPr>
                <w:ilvl w:val="0"/>
                <w:numId w:val="2"/>
              </w:numPr>
              <w:spacing w:before="40" w:after="40"/>
            </w:pPr>
            <w:r>
              <w:rPr>
                <w:rFonts w:ascii="Arial" w:cs="Arial" w:eastAsia="Arial" w:hAnsi="Arial"/>
                <w:sz w:val="20"/>
                <w:szCs w:val="20"/>
              </w:rPr>
              <w:t xml:space="preserve">ATC Cloud Readiness check is specific terminology that signals hands-on experience</w:t>
            </w:r>
          </w:p>
          <w:p>
            <w:pPr>
              <w:pStyle w:val="ListParagraph"/>
              <w:numPr>
                <w:ilvl w:val="0"/>
                <w:numId w:val="2"/>
              </w:numPr>
              <w:spacing w:before="40" w:after="40"/>
            </w:pPr>
            <w:r>
              <w:rPr>
                <w:rFonts w:ascii="Arial" w:cs="Arial" w:eastAsia="Arial" w:hAnsi="Arial"/>
                <w:sz w:val="20"/>
                <w:szCs w:val="20"/>
              </w:rPr>
              <w:t xml:space="preserve">Mentioning SAP Influence requests shows you know the ecosystem collaboration model</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Q9: Describe your experience with AMDP — what use cases justified pushing logic to the HANA layer?</w:t>
      </w:r>
    </w:p>
    <w:p>
      <w:pPr>
        <w:spacing w:before="60" w:after="60"/>
      </w:pPr>
      <w:r>
        <w:rPr>
          <w:rFonts w:ascii="Arial" w:cs="Arial" w:eastAsia="Arial" w:hAnsi="Arial"/>
          <w:b w:val="false"/>
          <w:bCs w:val="false"/>
          <w:sz w:val="20"/>
          <w:szCs w:val="20"/>
        </w:rPr>
        <w:t xml:space="preserve">AMDP (ABAP Managed Database Procedures) allow execution of HANA SQLScript directly from ABAP, pushing complex calculation logic into the HANA engine for maximum performance.</w:t>
      </w:r>
    </w:p>
    <w:p>
      <w:pPr>
        <w:spacing w:before="120" w:after="60"/>
      </w:pPr>
      <w:r>
        <w:rPr>
          <w:rFonts w:ascii="Arial" w:cs="Arial" w:eastAsia="Arial" w:hAnsi="Arial"/>
          <w:b/>
          <w:bCs/>
          <w:sz w:val="20"/>
          <w:szCs w:val="20"/>
        </w:rPr>
        <w:t xml:space="preserve">USE CASES THAT JUSTIFIED AMDP:</w:t>
      </w:r>
    </w:p>
    <w:p>
      <w:pPr>
        <w:spacing w:before="80" w:after="40"/>
        <w:ind w:left="240"/>
      </w:pPr>
      <w:r>
        <w:rPr>
          <w:rFonts w:ascii="Arial" w:cs="Arial" w:eastAsia="Arial" w:hAnsi="Arial"/>
          <w:b/>
          <w:bCs/>
          <w:color w:val="2E74B5"/>
          <w:sz w:val="20"/>
          <w:szCs w:val="20"/>
        </w:rPr>
        <w:t xml:space="preserve">1. Serialization Analytics at Amgen (ATTP): Processing millions of serial number records for batch traceability reporting. ABAP-layer aggregation was taking 45+ seconds. With AMDP and HANA-native hierarchy functions, we reduced runtime to under 3 seconds — a 15x improvement.</w:t>
      </w:r>
    </w:p>
    <w:p>
      <w:pPr>
        <w:spacing w:before="80" w:after="40"/>
        <w:ind w:left="240"/>
      </w:pPr>
      <w:r>
        <w:rPr>
          <w:rFonts w:ascii="Arial" w:cs="Arial" w:eastAsia="Arial" w:hAnsi="Arial"/>
          <w:b/>
          <w:bCs/>
          <w:color w:val="2E74B5"/>
          <w:sz w:val="20"/>
          <w:szCs w:val="20"/>
        </w:rPr>
        <w:t xml:space="preserve">2. Goods Movement Pattern Analysis at Johnson Controls: Complex multi-plant inventory variance calculation involving cross-joining 4M+ material movement records. AMDP with HANA's column-store optimization was the only viable approach.</w:t>
      </w:r>
    </w:p>
    <w:p>
      <w:pPr>
        <w:spacing w:before="80" w:after="40"/>
        <w:ind w:left="240"/>
      </w:pPr>
      <w:r>
        <w:rPr>
          <w:rFonts w:ascii="Arial" w:cs="Arial" w:eastAsia="Arial" w:hAnsi="Arial"/>
          <w:b/>
          <w:bCs/>
          <w:color w:val="2E74B5"/>
          <w:sz w:val="20"/>
          <w:szCs w:val="20"/>
        </w:rPr>
        <w:t xml:space="preserve">3. EWM Slotting Optimization: Real-time warehouse slot scoring algorithm needed sub-second response for RF device UX. AMDP delivered the required latency.</w:t>
      </w:r>
    </w:p>
    <w:p>
      <w:pPr>
        <w:spacing w:before="120" w:after="60"/>
      </w:pPr>
      <w:r>
        <w:rPr>
          <w:rFonts w:ascii="Arial" w:cs="Arial" w:eastAsia="Arial" w:hAnsi="Arial"/>
          <w:b/>
          <w:bCs/>
          <w:sz w:val="20"/>
          <w:szCs w:val="20"/>
        </w:rPr>
        <w:t xml:space="preserve">WHEN NOT TO USE AMDP:</w:t>
      </w:r>
    </w:p>
    <w:p>
      <w:pPr>
        <w:pStyle w:val="ListParagraph"/>
        <w:numPr>
          <w:ilvl w:val="0"/>
          <w:numId w:val="2"/>
        </w:numPr>
        <w:spacing w:before="40" w:after="40"/>
      </w:pPr>
      <w:r>
        <w:rPr>
          <w:rFonts w:ascii="Arial" w:cs="Arial" w:eastAsia="Arial" w:hAnsi="Arial"/>
          <w:sz w:val="20"/>
          <w:szCs w:val="20"/>
        </w:rPr>
        <w:t xml:space="preserve">Simple CRUD operations — pure ABAP or CDS is sufficient</w:t>
      </w:r>
    </w:p>
    <w:p>
      <w:pPr>
        <w:pStyle w:val="ListParagraph"/>
        <w:numPr>
          <w:ilvl w:val="0"/>
          <w:numId w:val="2"/>
        </w:numPr>
        <w:spacing w:before="40" w:after="40"/>
      </w:pPr>
      <w:r>
        <w:rPr>
          <w:rFonts w:ascii="Arial" w:cs="Arial" w:eastAsia="Arial" w:hAnsi="Arial"/>
          <w:sz w:val="20"/>
          <w:szCs w:val="20"/>
        </w:rPr>
        <w:t xml:space="preserve">Scenarios requiring database portability (though S/4HANA is HANA-only, making this less relevant)</w:t>
      </w:r>
    </w:p>
    <w:p>
      <w:pPr>
        <w:pStyle w:val="ListParagraph"/>
        <w:numPr>
          <w:ilvl w:val="0"/>
          <w:numId w:val="2"/>
        </w:numPr>
        <w:spacing w:before="40" w:after="40"/>
      </w:pPr>
      <w:r>
        <w:rPr>
          <w:rFonts w:ascii="Arial" w:cs="Arial" w:eastAsia="Arial" w:hAnsi="Arial"/>
          <w:sz w:val="20"/>
          <w:szCs w:val="20"/>
        </w:rPr>
        <w:t xml:space="preserve">Where CDS Analytical Queries with HANA push-down can achieve the same result — prefer CDS over AMDP for maintainability</w:t>
      </w:r>
    </w:p>
    <w:p>
      <w:pPr>
        <w:spacing w:before="60" w:after="60"/>
      </w:pPr>
      <w:r>
        <w:rPr>
          <w:rFonts w:ascii="Arial" w:cs="Arial" w:eastAsia="Arial" w:hAnsi="Arial"/>
          <w:b w:val="false"/>
          <w:bCs w:val="false"/>
          <w:sz w:val="20"/>
          <w:szCs w:val="20"/>
        </w:rPr>
        <w:t xml:space="preserve">Governance rule I applied: AMDP required architecture board approval and mandatory performance benchmark documentation justifying the decision.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Quantify performance improvements (15x, 45s to 3s) — these resonate strongly</w:t>
            </w:r>
          </w:p>
          <w:p>
            <w:pPr>
              <w:pStyle w:val="ListParagraph"/>
              <w:numPr>
                <w:ilvl w:val="0"/>
                <w:numId w:val="2"/>
              </w:numPr>
              <w:spacing w:before="40" w:after="40"/>
            </w:pPr>
            <w:r>
              <w:rPr>
                <w:rFonts w:ascii="Arial" w:cs="Arial" w:eastAsia="Arial" w:hAnsi="Arial"/>
                <w:sz w:val="20"/>
                <w:szCs w:val="20"/>
              </w:rPr>
              <w:t xml:space="preserve">Showing restraint ('when NOT to use') demonstrates senior-level judgment</w:t>
            </w:r>
          </w:p>
          <w:p>
            <w:pPr>
              <w:pStyle w:val="ListParagraph"/>
              <w:numPr>
                <w:ilvl w:val="0"/>
                <w:numId w:val="2"/>
              </w:numPr>
              <w:spacing w:before="40" w:after="40"/>
            </w:pPr>
            <w:r>
              <w:rPr>
                <w:rFonts w:ascii="Arial" w:cs="Arial" w:eastAsia="Arial" w:hAnsi="Arial"/>
                <w:sz w:val="20"/>
                <w:szCs w:val="20"/>
              </w:rPr>
              <w:t xml:space="preserve">The governance gate on AMDP shows architectural discipline</w:t>
            </w:r>
          </w:p>
        </w:tc>
      </w:tr>
    </w:tbl>
    <w:p>
      <w:pPr>
        <w:spacing w:before="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120"/>
            </w:tcMar>
          </w:tcPr>
          <w:p>
            <w:r>
              <w:rPr>
                <w:rFonts w:ascii="Arial" w:cs="Arial" w:eastAsia="Arial" w:hAnsi="Arial"/>
                <w:b/>
                <w:bCs/>
                <w:color w:val="FFFFFF"/>
                <w:sz w:val="28"/>
                <w:szCs w:val="28"/>
              </w:rPr>
              <w:t xml:space="preserve">SECTION 3: Fiori / UI5 Development</w:t>
            </w:r>
          </w:p>
        </w:tc>
      </w:tr>
    </w:tbl>
    <w:p>
      <w:pPr>
        <w:spacing w:before="0" w:after="12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Q10: Walk through the architecture of a Fiori app you built or led — was it Freestyle UI5 or Fiori Elements, and why?</w:t>
      </w:r>
    </w:p>
    <w:p>
      <w:pPr>
        <w:spacing w:before="60" w:after="60"/>
      </w:pPr>
      <w:r>
        <w:rPr>
          <w:rFonts w:ascii="Arial" w:cs="Arial" w:eastAsia="Arial" w:hAnsi="Arial"/>
          <w:b w:val="false"/>
          <w:bCs w:val="false"/>
          <w:sz w:val="20"/>
          <w:szCs w:val="20"/>
        </w:rPr>
        <w:t xml:space="preserve">PROJECT: Batch Inspection Results Dashboard — Amgen QM Module</w:t>
      </w:r>
    </w:p>
    <w:p>
      <w:pPr>
        <w:spacing w:before="60" w:after="60"/>
      </w:pPr>
      <w:r>
        <w:rPr>
          <w:rFonts w:ascii="Arial" w:cs="Arial" w:eastAsia="Arial" w:hAnsi="Arial"/>
          <w:b w:val="false"/>
          <w:bCs w:val="false"/>
          <w:sz w:val="20"/>
          <w:szCs w:val="20"/>
        </w:rPr>
        <w:t xml:space="preserve">DECISION: Fiori Elements (List Report + Object Page floorplan)</w:t>
      </w:r>
    </w:p>
    <w:p>
      <w:pPr>
        <w:spacing w:before="120" w:after="60"/>
      </w:pPr>
      <w:r>
        <w:rPr>
          <w:rFonts w:ascii="Arial" w:cs="Arial" w:eastAsia="Arial" w:hAnsi="Arial"/>
          <w:b/>
          <w:bCs/>
          <w:sz w:val="20"/>
          <w:szCs w:val="20"/>
        </w:rPr>
        <w:t xml:space="preserve">WHY FIORI ELEMENTS over Freestyle:</w:t>
      </w:r>
    </w:p>
    <w:p>
      <w:pPr>
        <w:pStyle w:val="ListParagraph"/>
        <w:numPr>
          <w:ilvl w:val="0"/>
          <w:numId w:val="2"/>
        </w:numPr>
        <w:spacing w:before="40" w:after="40"/>
      </w:pPr>
      <w:r>
        <w:rPr>
          <w:rFonts w:ascii="Arial" w:cs="Arial" w:eastAsia="Arial" w:hAnsi="Arial"/>
          <w:sz w:val="20"/>
          <w:szCs w:val="20"/>
        </w:rPr>
        <w:t xml:space="preserve">The use case was a structured data browsing and editing scenario — exactly what Fiori Elements floorplans are designed for.</w:t>
      </w:r>
    </w:p>
    <w:p>
      <w:pPr>
        <w:pStyle w:val="ListParagraph"/>
        <w:numPr>
          <w:ilvl w:val="0"/>
          <w:numId w:val="2"/>
        </w:numPr>
        <w:spacing w:before="40" w:after="40"/>
      </w:pPr>
      <w:r>
        <w:rPr>
          <w:rFonts w:ascii="Arial" w:cs="Arial" w:eastAsia="Arial" w:hAnsi="Arial"/>
          <w:sz w:val="20"/>
          <w:szCs w:val="20"/>
        </w:rPr>
        <w:t xml:space="preserve">No custom UX interaction patterns were needed — standard filter bar, table, and form layouts sufficed.</w:t>
      </w:r>
    </w:p>
    <w:p>
      <w:pPr>
        <w:pStyle w:val="ListParagraph"/>
        <w:numPr>
          <w:ilvl w:val="0"/>
          <w:numId w:val="2"/>
        </w:numPr>
        <w:spacing w:before="40" w:after="40"/>
      </w:pPr>
      <w:r>
        <w:rPr>
          <w:rFonts w:ascii="Arial" w:cs="Arial" w:eastAsia="Arial" w:hAnsi="Arial"/>
          <w:sz w:val="20"/>
          <w:szCs w:val="20"/>
        </w:rPr>
        <w:t xml:space="preserve">Fiori Elements auto-generates UI from CDS Annotations, dramatically reducing frontend development time.</w:t>
      </w:r>
    </w:p>
    <w:p>
      <w:pPr>
        <w:pStyle w:val="ListParagraph"/>
        <w:numPr>
          <w:ilvl w:val="0"/>
          <w:numId w:val="2"/>
        </w:numPr>
        <w:spacing w:before="40" w:after="40"/>
      </w:pPr>
      <w:r>
        <w:rPr>
          <w:rFonts w:ascii="Arial" w:cs="Arial" w:eastAsia="Arial" w:hAnsi="Arial"/>
          <w:sz w:val="20"/>
          <w:szCs w:val="20"/>
        </w:rPr>
        <w:t xml:space="preserve">Upgrade compatibility: Fiori Elements apps receive SAP UX improvements automatically with platform updates.</w:t>
      </w:r>
    </w:p>
    <w:p>
      <w:pPr>
        <w:spacing w:before="120" w:after="60"/>
      </w:pPr>
      <w:r>
        <w:rPr>
          <w:rFonts w:ascii="Arial" w:cs="Arial" w:eastAsia="Arial" w:hAnsi="Arial"/>
          <w:b/>
          <w:bCs/>
          <w:sz w:val="20"/>
          <w:szCs w:val="20"/>
        </w:rPr>
        <w:t xml:space="preserve">ARCHITECTURE STACK:</w:t>
      </w:r>
    </w:p>
    <w:p>
      <w:pPr>
        <w:pStyle w:val="ListParagraph"/>
        <w:numPr>
          <w:ilvl w:val="0"/>
          <w:numId w:val="2"/>
        </w:numPr>
        <w:spacing w:before="40" w:after="40"/>
      </w:pPr>
      <w:r>
        <w:rPr>
          <w:rFonts w:ascii="Arial" w:cs="Arial" w:eastAsia="Arial" w:hAnsi="Arial"/>
          <w:sz w:val="20"/>
          <w:szCs w:val="20"/>
        </w:rPr>
        <w:t xml:space="preserve">Data Layer: CDS Interface View → CDS Projection View with @UI annotations → OData V4 service via RAP</w:t>
      </w:r>
    </w:p>
    <w:p>
      <w:pPr>
        <w:pStyle w:val="ListParagraph"/>
        <w:numPr>
          <w:ilvl w:val="0"/>
          <w:numId w:val="2"/>
        </w:numPr>
        <w:spacing w:before="40" w:after="40"/>
      </w:pPr>
      <w:r>
        <w:rPr>
          <w:rFonts w:ascii="Arial" w:cs="Arial" w:eastAsia="Arial" w:hAnsi="Arial"/>
          <w:sz w:val="20"/>
          <w:szCs w:val="20"/>
        </w:rPr>
        <w:t xml:space="preserve">Backend: RAP Business Object with validation, determination, and action handlers in ABAP Cloud</w:t>
      </w:r>
    </w:p>
    <w:p>
      <w:pPr>
        <w:pStyle w:val="ListParagraph"/>
        <w:numPr>
          <w:ilvl w:val="0"/>
          <w:numId w:val="2"/>
        </w:numPr>
        <w:spacing w:before="40" w:after="40"/>
      </w:pPr>
      <w:r>
        <w:rPr>
          <w:rFonts w:ascii="Arial" w:cs="Arial" w:eastAsia="Arial" w:hAnsi="Arial"/>
          <w:sz w:val="20"/>
          <w:szCs w:val="20"/>
        </w:rPr>
        <w:t xml:space="preserve">Frontend: Fiori Elements List Report (filter + table) + Object Page (inspection detail + charts) — zero custom JS</w:t>
      </w:r>
    </w:p>
    <w:p>
      <w:pPr>
        <w:pStyle w:val="ListParagraph"/>
        <w:numPr>
          <w:ilvl w:val="0"/>
          <w:numId w:val="2"/>
        </w:numPr>
        <w:spacing w:before="40" w:after="40"/>
      </w:pPr>
      <w:r>
        <w:rPr>
          <w:rFonts w:ascii="Arial" w:cs="Arial" w:eastAsia="Arial" w:hAnsi="Arial"/>
          <w:sz w:val="20"/>
          <w:szCs w:val="20"/>
        </w:rPr>
        <w:t xml:space="preserve">Security: PFCG role-based access + CDS DCL for plant-level row restriction</w:t>
      </w:r>
    </w:p>
    <w:p>
      <w:pPr>
        <w:pStyle w:val="ListParagraph"/>
        <w:numPr>
          <w:ilvl w:val="0"/>
          <w:numId w:val="2"/>
        </w:numPr>
        <w:spacing w:before="40" w:after="40"/>
      </w:pPr>
      <w:r>
        <w:rPr>
          <w:rFonts w:ascii="Arial" w:cs="Arial" w:eastAsia="Arial" w:hAnsi="Arial"/>
          <w:sz w:val="20"/>
          <w:szCs w:val="20"/>
        </w:rPr>
        <w:t xml:space="preserve">Deployment: ABAP-managed app in SAP launchpad (no BTP SAPUI5 repo needed for on-premise)</w:t>
      </w:r>
    </w:p>
    <w:p>
      <w:pPr>
        <w:spacing w:before="60" w:after="60"/>
      </w:pPr>
      <w:r>
        <w:rPr>
          <w:rFonts w:ascii="Arial" w:cs="Arial" w:eastAsia="Arial" w:hAnsi="Arial"/>
          <w:b w:val="false"/>
          <w:bCs w:val="false"/>
          <w:sz w:val="20"/>
          <w:szCs w:val="20"/>
        </w:rPr>
        <w:t xml:space="preserve">WHEN I WOULD CHOOSE Freestyle UI5: For complex, custom interaction patterns (e.g., drag-drop Gantt chart, real-time collaborative editing, or custom visualization) where no standard Fiori floorplan fits. I used Freestyle for a custom EWM RF device UI where the interaction model was non-standard.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Interviewers want to hear you can justify the choice — not just name the technology</w:t>
            </w:r>
          </w:p>
          <w:p>
            <w:pPr>
              <w:pStyle w:val="ListParagraph"/>
              <w:numPr>
                <w:ilvl w:val="0"/>
                <w:numId w:val="2"/>
              </w:numPr>
              <w:spacing w:before="40" w:after="40"/>
            </w:pPr>
            <w:r>
              <w:rPr>
                <w:rFonts w:ascii="Arial" w:cs="Arial" w:eastAsia="Arial" w:hAnsi="Arial"/>
                <w:sz w:val="20"/>
                <w:szCs w:val="20"/>
              </w:rPr>
              <w:t xml:space="preserve">Mentioning DCL and PFCG together shows security depth</w:t>
            </w:r>
          </w:p>
          <w:p>
            <w:pPr>
              <w:pStyle w:val="ListParagraph"/>
              <w:numPr>
                <w:ilvl w:val="0"/>
                <w:numId w:val="2"/>
              </w:numPr>
              <w:spacing w:before="40" w:after="40"/>
            </w:pPr>
            <w:r>
              <w:rPr>
                <w:rFonts w:ascii="Arial" w:cs="Arial" w:eastAsia="Arial" w:hAnsi="Arial"/>
                <w:sz w:val="20"/>
                <w:szCs w:val="20"/>
              </w:rPr>
              <w:t xml:space="preserve">The Freestyle counterexample shows balanced judgment</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Q11: How do you handle OData service design for Fiori apps — V2 vs. V4, and how does RAP change that decision?</w:t>
      </w:r>
    </w:p>
    <w:p>
      <w:pPr>
        <w:spacing w:before="120" w:after="60"/>
      </w:pPr>
      <w:r>
        <w:rPr>
          <w:rFonts w:ascii="Arial" w:cs="Arial" w:eastAsia="Arial" w:hAnsi="Arial"/>
          <w:b/>
          <w:bCs/>
          <w:sz w:val="20"/>
          <w:szCs w:val="20"/>
        </w:rPr>
        <w:t xml:space="preserve">OData V2 vs. V4 Design Decision:</w:t>
      </w:r>
    </w:p>
    <w:p>
      <w:pPr>
        <w:pStyle w:val="ListParagraph"/>
        <w:numPr>
          <w:ilvl w:val="0"/>
          <w:numId w:val="2"/>
        </w:numPr>
        <w:spacing w:before="40" w:after="40"/>
      </w:pPr>
      <w:r>
        <w:rPr>
          <w:rFonts w:ascii="Arial" w:cs="Arial" w:eastAsia="Arial" w:hAnsi="Arial"/>
          <w:sz w:val="20"/>
          <w:szCs w:val="20"/>
        </w:rPr>
        <w:t xml:space="preserve">OData V2: Mature, widely supported, uses SAP Gateway (SEGW transaction), works with BOPF or manual backend implementation. Still valid for legacy S/4HANA Private Edition and ECC systems.</w:t>
      </w:r>
    </w:p>
    <w:p>
      <w:pPr>
        <w:pStyle w:val="ListParagraph"/>
        <w:numPr>
          <w:ilvl w:val="0"/>
          <w:numId w:val="2"/>
        </w:numPr>
        <w:spacing w:before="40" w:after="40"/>
      </w:pPr>
      <w:r>
        <w:rPr>
          <w:rFonts w:ascii="Arial" w:cs="Arial" w:eastAsia="Arial" w:hAnsi="Arial"/>
          <w:sz w:val="20"/>
          <w:szCs w:val="20"/>
        </w:rPr>
        <w:t xml:space="preserve">OData V4: The strategic direction. Supports batch requests, delta tokens, server-side filtering, and deep insert/update — critical for complex Fiori apps. Required for Fiori Elements V4 floorplans and RAP-based services.</w:t>
      </w:r>
    </w:p>
    <w:p>
      <w:pPr>
        <w:spacing w:before="120" w:after="60"/>
      </w:pPr>
      <w:r>
        <w:rPr>
          <w:rFonts w:ascii="Arial" w:cs="Arial" w:eastAsia="Arial" w:hAnsi="Arial"/>
          <w:b/>
          <w:bCs/>
          <w:sz w:val="20"/>
          <w:szCs w:val="20"/>
        </w:rPr>
        <w:t xml:space="preserve">HOW RAP CHANGES THE DECISION: RAP eliminates the choice entirely in most cases — RAP service definitions automatically generate OData V4 services. The CDS Consumption View defines the entity set, and the service binding (UI or API) determines the protocol. This means:</w:t>
      </w:r>
    </w:p>
    <w:p>
      <w:pPr>
        <w:pStyle w:val="ListParagraph"/>
        <w:numPr>
          <w:ilvl w:val="0"/>
          <w:numId w:val="2"/>
        </w:numPr>
        <w:spacing w:before="40" w:after="40"/>
      </w:pPr>
      <w:r>
        <w:rPr>
          <w:rFonts w:ascii="Arial" w:cs="Arial" w:eastAsia="Arial" w:hAnsi="Arial"/>
          <w:sz w:val="20"/>
          <w:szCs w:val="20"/>
        </w:rPr>
        <w:t xml:space="preserve">No SEGW transaction</w:t>
      </w:r>
    </w:p>
    <w:p>
      <w:pPr>
        <w:pStyle w:val="ListParagraph"/>
        <w:numPr>
          <w:ilvl w:val="0"/>
          <w:numId w:val="2"/>
        </w:numPr>
        <w:spacing w:before="40" w:after="40"/>
      </w:pPr>
      <w:r>
        <w:rPr>
          <w:rFonts w:ascii="Arial" w:cs="Arial" w:eastAsia="Arial" w:hAnsi="Arial"/>
          <w:sz w:val="20"/>
          <w:szCs w:val="20"/>
        </w:rPr>
        <w:t xml:space="preserve">No manual DPC/MPC class extension</w:t>
      </w:r>
    </w:p>
    <w:p>
      <w:pPr>
        <w:pStyle w:val="ListParagraph"/>
        <w:numPr>
          <w:ilvl w:val="0"/>
          <w:numId w:val="2"/>
        </w:numPr>
        <w:spacing w:before="40" w:after="40"/>
      </w:pPr>
      <w:r>
        <w:rPr>
          <w:rFonts w:ascii="Arial" w:cs="Arial" w:eastAsia="Arial" w:hAnsi="Arial"/>
          <w:sz w:val="20"/>
          <w:szCs w:val="20"/>
        </w:rPr>
        <w:t xml:space="preserve">Draft handling, lock management, and action handling built into the RAP BO framework</w:t>
      </w:r>
    </w:p>
    <w:p>
      <w:pPr>
        <w:spacing w:before="120" w:after="60"/>
      </w:pPr>
      <w:r>
        <w:rPr>
          <w:rFonts w:ascii="Arial" w:cs="Arial" w:eastAsia="Arial" w:hAnsi="Arial"/>
          <w:b/>
          <w:bCs/>
          <w:sz w:val="20"/>
          <w:szCs w:val="20"/>
        </w:rPr>
        <w:t xml:space="preserve">DESIGN PRINCIPLES I APPLY:</w:t>
      </w:r>
    </w:p>
    <w:p>
      <w:pPr>
        <w:pStyle w:val="ListParagraph"/>
        <w:numPr>
          <w:ilvl w:val="0"/>
          <w:numId w:val="2"/>
        </w:numPr>
        <w:spacing w:before="40" w:after="40"/>
      </w:pPr>
      <w:r>
        <w:rPr>
          <w:rFonts w:ascii="Arial" w:cs="Arial" w:eastAsia="Arial" w:hAnsi="Arial"/>
          <w:sz w:val="20"/>
          <w:szCs w:val="20"/>
        </w:rPr>
        <w:t xml:space="preserve">Keep OData services thin — business logic stays in the RAP Business Object, not in the service layer</w:t>
      </w:r>
    </w:p>
    <w:p>
      <w:pPr>
        <w:pStyle w:val="ListParagraph"/>
        <w:numPr>
          <w:ilvl w:val="0"/>
          <w:numId w:val="2"/>
        </w:numPr>
        <w:spacing w:before="40" w:after="40"/>
      </w:pPr>
      <w:r>
        <w:rPr>
          <w:rFonts w:ascii="Arial" w:cs="Arial" w:eastAsia="Arial" w:hAnsi="Arial"/>
          <w:sz w:val="20"/>
          <w:szCs w:val="20"/>
        </w:rPr>
        <w:t xml:space="preserve">Design entity sets around Fiori floorplan requirements — not database tables</w:t>
      </w:r>
    </w:p>
    <w:p>
      <w:pPr>
        <w:pStyle w:val="ListParagraph"/>
        <w:numPr>
          <w:ilvl w:val="0"/>
          <w:numId w:val="2"/>
        </w:numPr>
        <w:spacing w:before="40" w:after="40"/>
      </w:pPr>
      <w:r>
        <w:rPr>
          <w:rFonts w:ascii="Arial" w:cs="Arial" w:eastAsia="Arial" w:hAnsi="Arial"/>
          <w:sz w:val="20"/>
          <w:szCs w:val="20"/>
        </w:rPr>
        <w:t xml:space="preserve">Use $expand sparingly — prefer separate entity sets to avoid payload bloat</w:t>
      </w:r>
    </w:p>
    <w:p>
      <w:pPr>
        <w:pStyle w:val="ListParagraph"/>
        <w:numPr>
          <w:ilvl w:val="0"/>
          <w:numId w:val="2"/>
        </w:numPr>
        <w:spacing w:before="40" w:after="40"/>
      </w:pPr>
      <w:r>
        <w:rPr>
          <w:rFonts w:ascii="Arial" w:cs="Arial" w:eastAsia="Arial" w:hAnsi="Arial"/>
          <w:sz w:val="20"/>
          <w:szCs w:val="20"/>
        </w:rPr>
        <w:t xml:space="preserve">Always implement server-side paging ($top/$skip) for large data sets</w:t>
      </w:r>
    </w:p>
    <w:p>
      <w:pPr>
        <w:pStyle w:val="ListParagraph"/>
        <w:numPr>
          <w:ilvl w:val="0"/>
          <w:numId w:val="2"/>
        </w:numPr>
        <w:spacing w:before="40" w:after="40"/>
      </w:pPr>
      <w:r>
        <w:rPr>
          <w:rFonts w:ascii="Arial" w:cs="Arial" w:eastAsia="Arial" w:hAnsi="Arial"/>
          <w:sz w:val="20"/>
          <w:szCs w:val="20"/>
        </w:rPr>
        <w:t xml:space="preserve">Use OData V4 Actions for non-CRUD operations (e.g., 'Approve', 'Submit for Review')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Showing that RAP removes the V2/V4 decision for new development signals modern architecture thinking</w:t>
            </w:r>
          </w:p>
          <w:p>
            <w:pPr>
              <w:pStyle w:val="ListParagraph"/>
              <w:numPr>
                <w:ilvl w:val="0"/>
                <w:numId w:val="2"/>
              </w:numPr>
              <w:spacing w:before="40" w:after="40"/>
            </w:pPr>
            <w:r>
              <w:rPr>
                <w:rFonts w:ascii="Arial" w:cs="Arial" w:eastAsia="Arial" w:hAnsi="Arial"/>
                <w:sz w:val="20"/>
                <w:szCs w:val="20"/>
              </w:rPr>
              <w:t xml:space="preserve">The 'thin service layer' principle shows you understand separation of concerns</w:t>
            </w:r>
          </w:p>
          <w:p>
            <w:pPr>
              <w:pStyle w:val="ListParagraph"/>
              <w:numPr>
                <w:ilvl w:val="0"/>
                <w:numId w:val="2"/>
              </w:numPr>
              <w:spacing w:before="40" w:after="40"/>
            </w:pPr>
            <w:r>
              <w:rPr>
                <w:rFonts w:ascii="Arial" w:cs="Arial" w:eastAsia="Arial" w:hAnsi="Arial"/>
                <w:sz w:val="20"/>
                <w:szCs w:val="20"/>
              </w:rPr>
              <w:t xml:space="preserve">Mentioning specific OData constructs ($expand, $top/$skip) shows hands-on depth</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Q12: What performance optimization techniques have you applied in UI5 applications?</w:t>
      </w:r>
    </w:p>
    <w:p>
      <w:pPr>
        <w:spacing w:before="120" w:after="60"/>
      </w:pPr>
      <w:r>
        <w:rPr>
          <w:rFonts w:ascii="Arial" w:cs="Arial" w:eastAsia="Arial" w:hAnsi="Arial"/>
          <w:b/>
          <w:bCs/>
          <w:sz w:val="20"/>
          <w:szCs w:val="20"/>
        </w:rPr>
        <w:t xml:space="preserve">BACKEND OPTIMIZATIONS (biggest impact):</w:t>
      </w:r>
    </w:p>
    <w:p>
      <w:pPr>
        <w:pStyle w:val="ListParagraph"/>
        <w:numPr>
          <w:ilvl w:val="0"/>
          <w:numId w:val="2"/>
        </w:numPr>
        <w:spacing w:before="40" w:after="40"/>
      </w:pPr>
      <w:r>
        <w:rPr>
          <w:rFonts w:ascii="Arial" w:cs="Arial" w:eastAsia="Arial" w:hAnsi="Arial"/>
          <w:sz w:val="20"/>
          <w:szCs w:val="20"/>
        </w:rPr>
        <w:t xml:space="preserve">HANA push-down via CDS ANALYTICAL ENGINE — pushed aggregation to HANA rather than aggregating in ABAP or JavaScript</w:t>
      </w:r>
    </w:p>
    <w:p>
      <w:pPr>
        <w:pStyle w:val="ListParagraph"/>
        <w:numPr>
          <w:ilvl w:val="0"/>
          <w:numId w:val="2"/>
        </w:numPr>
        <w:spacing w:before="40" w:after="40"/>
      </w:pPr>
      <w:r>
        <w:rPr>
          <w:rFonts w:ascii="Arial" w:cs="Arial" w:eastAsia="Arial" w:hAnsi="Arial"/>
          <w:sz w:val="20"/>
          <w:szCs w:val="20"/>
        </w:rPr>
        <w:t xml:space="preserve">Selective $select in OData calls — only fetch fields needed for the current view, not the entire entity</w:t>
      </w:r>
    </w:p>
    <w:p>
      <w:pPr>
        <w:pStyle w:val="ListParagraph"/>
        <w:numPr>
          <w:ilvl w:val="0"/>
          <w:numId w:val="2"/>
        </w:numPr>
        <w:spacing w:before="40" w:after="40"/>
      </w:pPr>
      <w:r>
        <w:rPr>
          <w:rFonts w:ascii="Arial" w:cs="Arial" w:eastAsia="Arial" w:hAnsi="Arial"/>
          <w:sz w:val="20"/>
          <w:szCs w:val="20"/>
        </w:rPr>
        <w:t xml:space="preserve">Server-side filtering and paging — never load full data sets to the client</w:t>
      </w:r>
    </w:p>
    <w:p>
      <w:pPr>
        <w:pStyle w:val="ListParagraph"/>
        <w:numPr>
          <w:ilvl w:val="0"/>
          <w:numId w:val="2"/>
        </w:numPr>
        <w:spacing w:before="40" w:after="40"/>
      </w:pPr>
      <w:r>
        <w:rPr>
          <w:rFonts w:ascii="Arial" w:cs="Arial" w:eastAsia="Arial" w:hAnsi="Arial"/>
          <w:sz w:val="20"/>
          <w:szCs w:val="20"/>
        </w:rPr>
        <w:t xml:space="preserve">AMDP for complex calculations — kept heavy computation in HANA (15x speedup in Amgen ATTP serialization reporting)</w:t>
      </w:r>
    </w:p>
    <w:p>
      <w:pPr>
        <w:spacing w:before="120" w:after="60"/>
      </w:pPr>
      <w:r>
        <w:rPr>
          <w:rFonts w:ascii="Arial" w:cs="Arial" w:eastAsia="Arial" w:hAnsi="Arial"/>
          <w:b/>
          <w:bCs/>
          <w:sz w:val="20"/>
          <w:szCs w:val="20"/>
        </w:rPr>
        <w:t xml:space="preserve">FRONTEND OPTIMIZATIONS:</w:t>
      </w:r>
    </w:p>
    <w:p>
      <w:pPr>
        <w:pStyle w:val="ListParagraph"/>
        <w:numPr>
          <w:ilvl w:val="0"/>
          <w:numId w:val="2"/>
        </w:numPr>
        <w:spacing w:before="40" w:after="40"/>
      </w:pPr>
      <w:r>
        <w:rPr>
          <w:rFonts w:ascii="Arial" w:cs="Arial" w:eastAsia="Arial" w:hAnsi="Arial"/>
          <w:sz w:val="20"/>
          <w:szCs w:val="20"/>
        </w:rPr>
        <w:t xml:space="preserve">Component lazy loading — loaded non-critical sections on demand, not at app startup</w:t>
      </w:r>
    </w:p>
    <w:p>
      <w:pPr>
        <w:pStyle w:val="ListParagraph"/>
        <w:numPr>
          <w:ilvl w:val="0"/>
          <w:numId w:val="2"/>
        </w:numPr>
        <w:spacing w:before="40" w:after="40"/>
      </w:pPr>
      <w:r>
        <w:rPr>
          <w:rFonts w:ascii="Arial" w:cs="Arial" w:eastAsia="Arial" w:hAnsi="Arial"/>
          <w:sz w:val="20"/>
          <w:szCs w:val="20"/>
        </w:rPr>
        <w:t xml:space="preserve">UI5 model binding optimization — used Two-Way binding only where needed; defaulted to One-Way for read-only views</w:t>
      </w:r>
    </w:p>
    <w:p>
      <w:pPr>
        <w:pStyle w:val="ListParagraph"/>
        <w:numPr>
          <w:ilvl w:val="0"/>
          <w:numId w:val="2"/>
        </w:numPr>
        <w:spacing w:before="40" w:after="40"/>
      </w:pPr>
      <w:r>
        <w:rPr>
          <w:rFonts w:ascii="Arial" w:cs="Arial" w:eastAsia="Arial" w:hAnsi="Arial"/>
          <w:sz w:val="20"/>
          <w:szCs w:val="20"/>
        </w:rPr>
        <w:t xml:space="preserve">Batch OData requests — grouped multiple reads into a single $batch call to reduce round-trips</w:t>
      </w:r>
    </w:p>
    <w:p>
      <w:pPr>
        <w:pStyle w:val="ListParagraph"/>
        <w:numPr>
          <w:ilvl w:val="0"/>
          <w:numId w:val="2"/>
        </w:numPr>
        <w:spacing w:before="40" w:after="40"/>
      </w:pPr>
      <w:r>
        <w:rPr>
          <w:rFonts w:ascii="Arial" w:cs="Arial" w:eastAsia="Arial" w:hAnsi="Arial"/>
          <w:sz w:val="20"/>
          <w:szCs w:val="20"/>
        </w:rPr>
        <w:t xml:space="preserve">Virtualization for large tables — used sap.ui.table.Table (not sap.m.Table) for datasets &gt; 500 rows, enabling row virtualization</w:t>
      </w:r>
    </w:p>
    <w:p>
      <w:pPr>
        <w:pStyle w:val="ListParagraph"/>
        <w:numPr>
          <w:ilvl w:val="0"/>
          <w:numId w:val="2"/>
        </w:numPr>
        <w:spacing w:before="40" w:after="40"/>
      </w:pPr>
      <w:r>
        <w:rPr>
          <w:rFonts w:ascii="Arial" w:cs="Arial" w:eastAsia="Arial" w:hAnsi="Arial"/>
          <w:sz w:val="20"/>
          <w:szCs w:val="20"/>
        </w:rPr>
        <w:t xml:space="preserve">Cache-Control headers — leveraged browser caching for static CDS value help data</w:t>
      </w:r>
    </w:p>
    <w:p>
      <w:pPr>
        <w:spacing w:before="120" w:after="60"/>
      </w:pPr>
      <w:r>
        <w:rPr>
          <w:rFonts w:ascii="Arial" w:cs="Arial" w:eastAsia="Arial" w:hAnsi="Arial"/>
          <w:b/>
          <w:bCs/>
          <w:sz w:val="20"/>
          <w:szCs w:val="20"/>
        </w:rPr>
        <w:t xml:space="preserve">MONITORING &amp; DIAGNOSTICS:</w:t>
      </w:r>
    </w:p>
    <w:p>
      <w:pPr>
        <w:pStyle w:val="ListParagraph"/>
        <w:numPr>
          <w:ilvl w:val="0"/>
          <w:numId w:val="2"/>
        </w:numPr>
        <w:spacing w:before="40" w:after="40"/>
      </w:pPr>
      <w:r>
        <w:rPr>
          <w:rFonts w:ascii="Arial" w:cs="Arial" w:eastAsia="Arial" w:hAnsi="Arial"/>
          <w:sz w:val="20"/>
          <w:szCs w:val="20"/>
        </w:rPr>
        <w:t xml:space="preserve">Used SAP Performance Assistant and HANA Plan Visualizer to identify slow CDS queries</w:t>
      </w:r>
    </w:p>
    <w:p>
      <w:pPr>
        <w:pStyle w:val="ListParagraph"/>
        <w:numPr>
          <w:ilvl w:val="0"/>
          <w:numId w:val="2"/>
        </w:numPr>
        <w:spacing w:before="40" w:after="40"/>
      </w:pPr>
      <w:r>
        <w:rPr>
          <w:rFonts w:ascii="Arial" w:cs="Arial" w:eastAsia="Arial" w:hAnsi="Arial"/>
          <w:sz w:val="20"/>
          <w:szCs w:val="20"/>
        </w:rPr>
        <w:t xml:space="preserve">Tracked Time to First Interaction (TTFI) as the primary UX performance KPI</w:t>
      </w:r>
    </w:p>
    <w:p>
      <w:pPr>
        <w:spacing w:before="60" w:after="60"/>
      </w:pPr>
      <w:r>
        <w:rPr>
          <w:rFonts w:ascii="Arial" w:cs="Arial" w:eastAsia="Arial" w:hAnsi="Arial"/>
          <w:b w:val="false"/>
          <w:bCs w:val="false"/>
          <w:sz w:val="20"/>
          <w:szCs w:val="20"/>
        </w:rPr>
        <w:t xml:space="preserve">Result: On the Amgen inspection dashboard, reduced initial load time from 8.2s to 1.4s through backend push-down and selective field loading.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Lead with backend optimizations — 80% of performance gains are server-side</w:t>
            </w:r>
          </w:p>
          <w:p>
            <w:pPr>
              <w:pStyle w:val="ListParagraph"/>
              <w:numPr>
                <w:ilvl w:val="0"/>
                <w:numId w:val="2"/>
              </w:numPr>
              <w:spacing w:before="40" w:after="40"/>
            </w:pPr>
            <w:r>
              <w:rPr>
                <w:rFonts w:ascii="Arial" w:cs="Arial" w:eastAsia="Arial" w:hAnsi="Arial"/>
                <w:sz w:val="20"/>
                <w:szCs w:val="20"/>
              </w:rPr>
              <w:t xml:space="preserve">The 8.2s to 1.4s metric is compelling and concrete</w:t>
            </w:r>
          </w:p>
          <w:p>
            <w:pPr>
              <w:pStyle w:val="ListParagraph"/>
              <w:numPr>
                <w:ilvl w:val="0"/>
                <w:numId w:val="2"/>
              </w:numPr>
              <w:spacing w:before="40" w:after="40"/>
            </w:pPr>
            <w:r>
              <w:rPr>
                <w:rFonts w:ascii="Arial" w:cs="Arial" w:eastAsia="Arial" w:hAnsi="Arial"/>
                <w:sz w:val="20"/>
                <w:szCs w:val="20"/>
              </w:rPr>
              <w:t xml:space="preserve">TTFI as a UX KPI shows product thinking, not just engineering thinking</w:t>
            </w:r>
          </w:p>
        </w:tc>
      </w:tr>
    </w:tbl>
    <w:p>
      <w:pPr>
        <w:spacing w:before="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120"/>
            </w:tcMar>
          </w:tcPr>
          <w:p>
            <w:r>
              <w:rPr>
                <w:rFonts w:ascii="Arial" w:cs="Arial" w:eastAsia="Arial" w:hAnsi="Arial"/>
                <w:b/>
                <w:bCs/>
                <w:color w:val="FFFFFF"/>
                <w:sz w:val="28"/>
                <w:szCs w:val="28"/>
              </w:rPr>
              <w:t xml:space="preserve">SECTION 4: BTP Extension Suite (CAP, RAP, Build Apps)</w:t>
            </w:r>
          </w:p>
        </w:tc>
      </w:tr>
    </w:tbl>
    <w:p>
      <w:pPr>
        <w:spacing w:before="0" w:after="12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Q13: Compare CAP-based and RAP-based extension approaches — when do you recommend each?</w:t>
      </w:r>
    </w:p>
    <w:p>
      <w:pPr>
        <w:spacing w:before="120" w:after="60"/>
      </w:pPr>
      <w:r>
        <w:rPr>
          <w:rFonts w:ascii="Arial" w:cs="Arial" w:eastAsia="Arial" w:hAnsi="Arial"/>
          <w:b/>
          <w:bCs/>
          <w:sz w:val="20"/>
          <w:szCs w:val="20"/>
        </w:rPr>
        <w:t xml:space="preserve">CAP (Cloud Application Programming Model) and RAP (RESTful ABAP Programming Model) are both SAP's strategic frameworks but serve different contexts:</w:t>
      </w:r>
    </w:p>
    <w:p>
      <w:pPr>
        <w:spacing w:before="120" w:after="60"/>
      </w:pPr>
      <w:r>
        <w:rPr>
          <w:rFonts w:ascii="Arial" w:cs="Arial" w:eastAsia="Arial" w:hAnsi="Arial"/>
          <w:b/>
          <w:bCs/>
          <w:sz w:val="20"/>
          <w:szCs w:val="20"/>
        </w:rPr>
        <w:t xml:space="preserve">RAP — ABAP Cloud, tightly integrated with S/4HANA:</w:t>
      </w:r>
    </w:p>
    <w:p>
      <w:pPr>
        <w:pStyle w:val="ListParagraph"/>
        <w:numPr>
          <w:ilvl w:val="0"/>
          <w:numId w:val="2"/>
        </w:numPr>
        <w:spacing w:before="40" w:after="40"/>
      </w:pPr>
      <w:r>
        <w:rPr>
          <w:rFonts w:ascii="Arial" w:cs="Arial" w:eastAsia="Arial" w:hAnsi="Arial"/>
          <w:sz w:val="20"/>
          <w:szCs w:val="20"/>
        </w:rPr>
        <w:t xml:space="preserve">Language: ABAP (ABAP Cloud / Tier 1-2 compliant)</w:t>
      </w:r>
    </w:p>
    <w:p>
      <w:pPr>
        <w:pStyle w:val="ListParagraph"/>
        <w:numPr>
          <w:ilvl w:val="0"/>
          <w:numId w:val="2"/>
        </w:numPr>
        <w:spacing w:before="40" w:after="40"/>
      </w:pPr>
      <w:r>
        <w:rPr>
          <w:rFonts w:ascii="Arial" w:cs="Arial" w:eastAsia="Arial" w:hAnsi="Arial"/>
          <w:sz w:val="20"/>
          <w:szCs w:val="20"/>
        </w:rPr>
        <w:t xml:space="preserve">Runtime: ABAP Application Server (in S/4HANA)</w:t>
      </w:r>
    </w:p>
    <w:p>
      <w:pPr>
        <w:pStyle w:val="ListParagraph"/>
        <w:numPr>
          <w:ilvl w:val="0"/>
          <w:numId w:val="2"/>
        </w:numPr>
        <w:spacing w:before="40" w:after="40"/>
      </w:pPr>
      <w:r>
        <w:rPr>
          <w:rFonts w:ascii="Arial" w:cs="Arial" w:eastAsia="Arial" w:hAnsi="Arial"/>
          <w:sz w:val="20"/>
          <w:szCs w:val="20"/>
        </w:rPr>
        <w:t xml:space="preserve">Use when: Business logic needs direct access to S/4HANA transactional data via released ABAP APIs; deep integration with standard SAP objects (sales order, purchase order, batch); GxP/regulated environments where ABAP audit trail is required</w:t>
      </w:r>
    </w:p>
    <w:p>
      <w:pPr>
        <w:pStyle w:val="ListParagraph"/>
        <w:numPr>
          <w:ilvl w:val="0"/>
          <w:numId w:val="2"/>
        </w:numPr>
        <w:spacing w:before="40" w:after="40"/>
      </w:pPr>
      <w:r>
        <w:rPr>
          <w:rFonts w:ascii="Arial" w:cs="Arial" w:eastAsia="Arial" w:hAnsi="Arial"/>
          <w:sz w:val="20"/>
          <w:szCs w:val="20"/>
        </w:rPr>
        <w:t xml:space="preserve">Generates: OData V4 services natively; Fiori Elements-ready</w:t>
      </w:r>
    </w:p>
    <w:p>
      <w:pPr>
        <w:spacing w:before="120" w:after="60"/>
      </w:pPr>
      <w:r>
        <w:rPr>
          <w:rFonts w:ascii="Arial" w:cs="Arial" w:eastAsia="Arial" w:hAnsi="Arial"/>
          <w:b/>
          <w:bCs/>
          <w:sz w:val="20"/>
          <w:szCs w:val="20"/>
        </w:rPr>
        <w:t xml:space="preserve">CAP — Multi-cloud, polyglot, BTP-native:</w:t>
      </w:r>
    </w:p>
    <w:p>
      <w:pPr>
        <w:pStyle w:val="ListParagraph"/>
        <w:numPr>
          <w:ilvl w:val="0"/>
          <w:numId w:val="2"/>
        </w:numPr>
        <w:spacing w:before="40" w:after="40"/>
      </w:pPr>
      <w:r>
        <w:rPr>
          <w:rFonts w:ascii="Arial" w:cs="Arial" w:eastAsia="Arial" w:hAnsi="Arial"/>
          <w:sz w:val="20"/>
          <w:szCs w:val="20"/>
        </w:rPr>
        <w:t xml:space="preserve">Language: Node.js or Java</w:t>
      </w:r>
    </w:p>
    <w:p>
      <w:pPr>
        <w:pStyle w:val="ListParagraph"/>
        <w:numPr>
          <w:ilvl w:val="0"/>
          <w:numId w:val="2"/>
        </w:numPr>
        <w:spacing w:before="40" w:after="40"/>
      </w:pPr>
      <w:r>
        <w:rPr>
          <w:rFonts w:ascii="Arial" w:cs="Arial" w:eastAsia="Arial" w:hAnsi="Arial"/>
          <w:sz w:val="20"/>
          <w:szCs w:val="20"/>
        </w:rPr>
        <w:t xml:space="preserve">Runtime: BTP Cloud Foundry or Kyma</w:t>
      </w:r>
    </w:p>
    <w:p>
      <w:pPr>
        <w:pStyle w:val="ListParagraph"/>
        <w:numPr>
          <w:ilvl w:val="0"/>
          <w:numId w:val="2"/>
        </w:numPr>
        <w:spacing w:before="40" w:after="40"/>
      </w:pPr>
      <w:r>
        <w:rPr>
          <w:rFonts w:ascii="Arial" w:cs="Arial" w:eastAsia="Arial" w:hAnsi="Arial"/>
          <w:sz w:val="20"/>
          <w:szCs w:val="20"/>
        </w:rPr>
        <w:t xml:space="preserve">Use when: Extension needs to consume multiple data sources (S/4HANA + external SaaS + third-party); advanced AI/ML integration via BTP AI Core; multi-tenant SaaS extension architecture; event-driven processing with Advanced Event Mesh; team has Node.js/Java skills</w:t>
      </w:r>
    </w:p>
    <w:p>
      <w:pPr>
        <w:spacing w:before="120" w:after="60"/>
      </w:pPr>
      <w:r>
        <w:rPr>
          <w:rFonts w:ascii="Arial" w:cs="Arial" w:eastAsia="Arial" w:hAnsi="Arial"/>
          <w:b/>
          <w:bCs/>
          <w:sz w:val="20"/>
          <w:szCs w:val="20"/>
        </w:rPr>
        <w:t xml:space="preserve">MY RECOMMENDATION FRAMEWORK:</w:t>
      </w:r>
    </w:p>
    <w:p>
      <w:pPr>
        <w:pStyle w:val="ListParagraph"/>
        <w:numPr>
          <w:ilvl w:val="0"/>
          <w:numId w:val="2"/>
        </w:numPr>
        <w:spacing w:before="40" w:after="40"/>
      </w:pPr>
      <w:r>
        <w:rPr>
          <w:rFonts w:ascii="Arial" w:cs="Arial" w:eastAsia="Arial" w:hAnsi="Arial"/>
          <w:sz w:val="20"/>
          <w:szCs w:val="20"/>
        </w:rPr>
        <w:t xml:space="preserve">Is the extension tightly coupled to S/4HANA transactional processing? → RAP</w:t>
      </w:r>
    </w:p>
    <w:p>
      <w:pPr>
        <w:pStyle w:val="ListParagraph"/>
        <w:numPr>
          <w:ilvl w:val="0"/>
          <w:numId w:val="2"/>
        </w:numPr>
        <w:spacing w:before="40" w:after="40"/>
      </w:pPr>
      <w:r>
        <w:rPr>
          <w:rFonts w:ascii="Arial" w:cs="Arial" w:eastAsia="Arial" w:hAnsi="Arial"/>
          <w:sz w:val="20"/>
          <w:szCs w:val="20"/>
        </w:rPr>
        <w:t xml:space="preserve">Does it need third-party SaaS data, AI, or event-driven architecture? → CAP on BTP</w:t>
      </w:r>
    </w:p>
    <w:p>
      <w:pPr>
        <w:pStyle w:val="ListParagraph"/>
        <w:numPr>
          <w:ilvl w:val="0"/>
          <w:numId w:val="2"/>
        </w:numPr>
        <w:spacing w:before="40" w:after="40"/>
      </w:pPr>
      <w:r>
        <w:rPr>
          <w:rFonts w:ascii="Arial" w:cs="Arial" w:eastAsia="Arial" w:hAnsi="Arial"/>
          <w:sz w:val="20"/>
          <w:szCs w:val="20"/>
        </w:rPr>
        <w:t xml:space="preserve">Hybrid: Use RAP for the S/4HANA In-App piece and CAP for the BTP side-by-side piece, connected via Event Mesh or APIs.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The hybrid pattern (RAP + CAP together) shows architectural maturity</w:t>
            </w:r>
          </w:p>
          <w:p>
            <w:pPr>
              <w:pStyle w:val="ListParagraph"/>
              <w:numPr>
                <w:ilvl w:val="0"/>
                <w:numId w:val="2"/>
              </w:numPr>
              <w:spacing w:before="40" w:after="40"/>
            </w:pPr>
            <w:r>
              <w:rPr>
                <w:rFonts w:ascii="Arial" w:cs="Arial" w:eastAsia="Arial" w:hAnsi="Arial"/>
                <w:sz w:val="20"/>
                <w:szCs w:val="20"/>
              </w:rPr>
              <w:t xml:space="preserve">Mentioning multi-tenancy with CAP signals ISV/product thinking</w:t>
            </w:r>
          </w:p>
          <w:p>
            <w:pPr>
              <w:pStyle w:val="ListParagraph"/>
              <w:numPr>
                <w:ilvl w:val="0"/>
                <w:numId w:val="2"/>
              </w:numPr>
              <w:spacing w:before="40" w:after="40"/>
            </w:pPr>
            <w:r>
              <w:rPr>
                <w:rFonts w:ascii="Arial" w:cs="Arial" w:eastAsia="Arial" w:hAnsi="Arial"/>
                <w:sz w:val="20"/>
                <w:szCs w:val="20"/>
              </w:rPr>
              <w:t xml:space="preserve">Tie CAP to Node.js/Java skillsets — reminds interviewer of team composition reality</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Q14: Have you used SAP Build Apps or BPA for automation? Describe the use case and architecture.</w:t>
      </w:r>
    </w:p>
    <w:p>
      <w:pPr>
        <w:spacing w:before="120" w:after="60"/>
      </w:pPr>
      <w:r>
        <w:rPr>
          <w:rFonts w:ascii="Arial" w:cs="Arial" w:eastAsia="Arial" w:hAnsi="Arial"/>
          <w:b/>
          <w:bCs/>
          <w:sz w:val="20"/>
          <w:szCs w:val="20"/>
        </w:rPr>
        <w:t xml:space="preserve">SAP BUILD PROCESS AUTOMATION (BPA) USE CASE — Johnson Controls:</w:t>
      </w:r>
    </w:p>
    <w:p>
      <w:pPr>
        <w:spacing w:before="60" w:after="60"/>
      </w:pPr>
      <w:r>
        <w:rPr>
          <w:rFonts w:ascii="Arial" w:cs="Arial" w:eastAsia="Arial" w:hAnsi="Arial"/>
          <w:b w:val="false"/>
          <w:bCs w:val="false"/>
          <w:sz w:val="20"/>
          <w:szCs w:val="20"/>
        </w:rPr>
        <w:t xml:space="preserve">Use Case: Automated Goods Receipt to Invoice Reconciliation workflow. Previously a manual 3-day process with 4 handoffs between AP, Procurement, and Warehouse teams.</w:t>
      </w:r>
    </w:p>
    <w:p>
      <w:pPr>
        <w:spacing w:before="120" w:after="60"/>
      </w:pPr>
      <w:r>
        <w:rPr>
          <w:rFonts w:ascii="Arial" w:cs="Arial" w:eastAsia="Arial" w:hAnsi="Arial"/>
          <w:b/>
          <w:bCs/>
          <w:sz w:val="20"/>
          <w:szCs w:val="20"/>
        </w:rPr>
        <w:t xml:space="preserve">Architecture:</w:t>
      </w:r>
    </w:p>
    <w:p>
      <w:pPr>
        <w:pStyle w:val="ListParagraph"/>
        <w:numPr>
          <w:ilvl w:val="0"/>
          <w:numId w:val="2"/>
        </w:numPr>
        <w:spacing w:before="40" w:after="40"/>
      </w:pPr>
      <w:r>
        <w:rPr>
          <w:rFonts w:ascii="Arial" w:cs="Arial" w:eastAsia="Arial" w:hAnsi="Arial"/>
          <w:sz w:val="20"/>
          <w:szCs w:val="20"/>
        </w:rPr>
        <w:t xml:space="preserve">Trigger: Event-based trigger via SAP Business Accelerator Hub API — GR posted in S/4HANA generated an event on Advanced Event Mesh (AEM)</w:t>
      </w:r>
    </w:p>
    <w:p>
      <w:pPr>
        <w:pStyle w:val="ListParagraph"/>
        <w:numPr>
          <w:ilvl w:val="0"/>
          <w:numId w:val="2"/>
        </w:numPr>
        <w:spacing w:before="40" w:after="40"/>
      </w:pPr>
      <w:r>
        <w:rPr>
          <w:rFonts w:ascii="Arial" w:cs="Arial" w:eastAsia="Arial" w:hAnsi="Arial"/>
          <w:sz w:val="20"/>
          <w:szCs w:val="20"/>
        </w:rPr>
        <w:t xml:space="preserve">Process: SAP Build Process Automation workflow executed reconciliation steps: (1) Fetch PO and GR data via S/4HANA OData API; (2) Automated 3-way match logic in BPA; (3) Exception routing to AP approver if variance &gt; threshold; (4) Auto-post invoice on successful match via API</w:t>
      </w:r>
    </w:p>
    <w:p>
      <w:pPr>
        <w:pStyle w:val="ListParagraph"/>
        <w:numPr>
          <w:ilvl w:val="0"/>
          <w:numId w:val="2"/>
        </w:numPr>
        <w:spacing w:before="40" w:after="40"/>
      </w:pPr>
      <w:r>
        <w:rPr>
          <w:rFonts w:ascii="Arial" w:cs="Arial" w:eastAsia="Arial" w:hAnsi="Arial"/>
          <w:sz w:val="20"/>
          <w:szCs w:val="20"/>
        </w:rPr>
        <w:t xml:space="preserve">UI: SAP Build Apps used for the approver exception screen — low-code drag-and-drop with OData V4 connectivity to the BPA workflow API</w:t>
      </w:r>
    </w:p>
    <w:p>
      <w:pPr>
        <w:pStyle w:val="ListParagraph"/>
        <w:numPr>
          <w:ilvl w:val="0"/>
          <w:numId w:val="2"/>
        </w:numPr>
        <w:spacing w:before="40" w:after="40"/>
      </w:pPr>
      <w:r>
        <w:rPr>
          <w:rFonts w:ascii="Arial" w:cs="Arial" w:eastAsia="Arial" w:hAnsi="Arial"/>
          <w:sz w:val="20"/>
          <w:szCs w:val="20"/>
        </w:rPr>
        <w:t xml:space="preserve">Integration: BPA connected to S/4HANA via BTP Integration Suite as the API gateway</w:t>
      </w:r>
    </w:p>
    <w:p>
      <w:pPr>
        <w:spacing w:before="60" w:after="60"/>
      </w:pPr>
      <w:r>
        <w:rPr>
          <w:rFonts w:ascii="Arial" w:cs="Arial" w:eastAsia="Arial" w:hAnsi="Arial"/>
          <w:b w:val="false"/>
          <w:bCs w:val="false"/>
          <w:sz w:val="20"/>
          <w:szCs w:val="20"/>
        </w:rPr>
        <w:t xml:space="preserve">Results: Cycle time reduced from 3 days to 4 hours for 85% of invoices. Exception rate (requiring human intervention) dropped from 40% to 12%. Process fully documented in BPA for audit trail.</w:t>
      </w:r>
    </w:p>
    <w:p>
      <w:pPr>
        <w:spacing w:before="60" w:after="60"/>
      </w:pPr>
      <w:r>
        <w:rPr>
          <w:rFonts w:ascii="Arial" w:cs="Arial" w:eastAsia="Arial" w:hAnsi="Arial"/>
          <w:b w:val="false"/>
          <w:bCs w:val="false"/>
          <w:sz w:val="20"/>
          <w:szCs w:val="20"/>
        </w:rPr>
        <w:t xml:space="preserve">SAP BUILD APPS was also used at a pilot level for a mobile goods issue request app for warehouse operators — built by a business analyst with minimal IT involvement, validating the citizen developer use case.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The 3-day to 4-hour metric is highly compelling for business-facing interviewers</w:t>
            </w:r>
          </w:p>
          <w:p>
            <w:pPr>
              <w:pStyle w:val="ListParagraph"/>
              <w:numPr>
                <w:ilvl w:val="0"/>
                <w:numId w:val="2"/>
              </w:numPr>
              <w:spacing w:before="40" w:after="40"/>
            </w:pPr>
            <w:r>
              <w:rPr>
                <w:rFonts w:ascii="Arial" w:cs="Arial" w:eastAsia="Arial" w:hAnsi="Arial"/>
                <w:sz w:val="20"/>
                <w:szCs w:val="20"/>
              </w:rPr>
              <w:t xml:space="preserve">Mentioning AEM as the trigger shows event-driven design pattern knowledge</w:t>
            </w:r>
          </w:p>
          <w:p>
            <w:pPr>
              <w:pStyle w:val="ListParagraph"/>
              <w:numPr>
                <w:ilvl w:val="0"/>
                <w:numId w:val="2"/>
              </w:numPr>
              <w:spacing w:before="40" w:after="40"/>
            </w:pPr>
            <w:r>
              <w:rPr>
                <w:rFonts w:ascii="Arial" w:cs="Arial" w:eastAsia="Arial" w:hAnsi="Arial"/>
                <w:sz w:val="20"/>
                <w:szCs w:val="20"/>
              </w:rPr>
              <w:t xml:space="preserve">The citizen developer pilot story differentiates — shows you think about scalability of development</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Q15: How have you integrated AI services on BTP (e.g., AI Core, Document Information Extraction) into an SAP extension scenario?</w:t>
      </w:r>
    </w:p>
    <w:p>
      <w:pPr>
        <w:spacing w:before="120" w:after="60"/>
      </w:pPr>
      <w:r>
        <w:rPr>
          <w:rFonts w:ascii="Arial" w:cs="Arial" w:eastAsia="Arial" w:hAnsi="Arial"/>
          <w:b/>
          <w:bCs/>
          <w:sz w:val="20"/>
          <w:szCs w:val="20"/>
        </w:rPr>
        <w:t xml:space="preserve">AI CORE INTEGRATION — Amgen (Conceptual Architecture + Pilot):</w:t>
      </w:r>
    </w:p>
    <w:p>
      <w:pPr>
        <w:spacing w:before="60" w:after="60"/>
      </w:pPr>
      <w:r>
        <w:rPr>
          <w:rFonts w:ascii="Arial" w:cs="Arial" w:eastAsia="Arial" w:hAnsi="Arial"/>
          <w:b w:val="false"/>
          <w:bCs w:val="false"/>
          <w:sz w:val="20"/>
          <w:szCs w:val="20"/>
        </w:rPr>
        <w:t xml:space="preserve">Use Case: Intelligent Goods Receipt Anomaly Detection — flagging potentially incorrect GR quantities based on historical patterns and ML models.</w:t>
      </w:r>
    </w:p>
    <w:p>
      <w:pPr>
        <w:spacing w:before="120" w:after="60"/>
      </w:pPr>
      <w:r>
        <w:rPr>
          <w:rFonts w:ascii="Arial" w:cs="Arial" w:eastAsia="Arial" w:hAnsi="Arial"/>
          <w:b/>
          <w:bCs/>
          <w:sz w:val="20"/>
          <w:szCs w:val="20"/>
        </w:rPr>
        <w:t xml:space="preserve">Architecture:</w:t>
      </w:r>
    </w:p>
    <w:p>
      <w:pPr>
        <w:pStyle w:val="ListParagraph"/>
        <w:numPr>
          <w:ilvl w:val="0"/>
          <w:numId w:val="2"/>
        </w:numPr>
        <w:spacing w:before="40" w:after="40"/>
      </w:pPr>
      <w:r>
        <w:rPr>
          <w:rFonts w:ascii="Arial" w:cs="Arial" w:eastAsia="Arial" w:hAnsi="Arial"/>
          <w:sz w:val="20"/>
          <w:szCs w:val="20"/>
        </w:rPr>
        <w:t xml:space="preserve">Data Pipeline: S/4HANA GR history exported via OData to BTP Data Intelligence (now Data Services) for ML training data</w:t>
      </w:r>
    </w:p>
    <w:p>
      <w:pPr>
        <w:pStyle w:val="ListParagraph"/>
        <w:numPr>
          <w:ilvl w:val="0"/>
          <w:numId w:val="2"/>
        </w:numPr>
        <w:spacing w:before="40" w:after="40"/>
      </w:pPr>
      <w:r>
        <w:rPr>
          <w:rFonts w:ascii="Arial" w:cs="Arial" w:eastAsia="Arial" w:hAnsi="Arial"/>
          <w:sz w:val="20"/>
          <w:szCs w:val="20"/>
        </w:rPr>
        <w:t xml:space="preserve">Model Training: BTP AI Core (MLOps pipeline) used for model training and versioning</w:t>
      </w:r>
    </w:p>
    <w:p>
      <w:pPr>
        <w:pStyle w:val="ListParagraph"/>
        <w:numPr>
          <w:ilvl w:val="0"/>
          <w:numId w:val="2"/>
        </w:numPr>
        <w:spacing w:before="40" w:after="40"/>
      </w:pPr>
      <w:r>
        <w:rPr>
          <w:rFonts w:ascii="Arial" w:cs="Arial" w:eastAsia="Arial" w:hAnsi="Arial"/>
          <w:sz w:val="20"/>
          <w:szCs w:val="20"/>
        </w:rPr>
        <w:t xml:space="preserve">Inference: Real-time inference API exposed from AI Core, invoked via CAP-based extension during GR posting</w:t>
      </w:r>
    </w:p>
    <w:p>
      <w:pPr>
        <w:pStyle w:val="ListParagraph"/>
        <w:numPr>
          <w:ilvl w:val="0"/>
          <w:numId w:val="2"/>
        </w:numPr>
        <w:spacing w:before="40" w:after="40"/>
      </w:pPr>
      <w:r>
        <w:rPr>
          <w:rFonts w:ascii="Arial" w:cs="Arial" w:eastAsia="Arial" w:hAnsi="Arial"/>
          <w:sz w:val="20"/>
          <w:szCs w:val="20"/>
        </w:rPr>
        <w:t xml:space="preserve">Integration: CAP app subscribed to GR event via AEM, called AI Core inference endpoint, returned confidence score to S/4HANA via RAP Action API</w:t>
      </w:r>
    </w:p>
    <w:p>
      <w:pPr>
        <w:spacing w:before="120" w:after="60"/>
      </w:pPr>
      <w:r>
        <w:rPr>
          <w:rFonts w:ascii="Arial" w:cs="Arial" w:eastAsia="Arial" w:hAnsi="Arial"/>
          <w:b/>
          <w:bCs/>
          <w:sz w:val="20"/>
          <w:szCs w:val="20"/>
        </w:rPr>
        <w:t xml:space="preserve">DOCUMENT INFORMATION EXTRACTION (DOX) — Johnson Controls:</w:t>
      </w:r>
    </w:p>
    <w:p>
      <w:pPr>
        <w:spacing w:before="60" w:after="60"/>
      </w:pPr>
      <w:r>
        <w:rPr>
          <w:rFonts w:ascii="Arial" w:cs="Arial" w:eastAsia="Arial" w:hAnsi="Arial"/>
          <w:b w:val="false"/>
          <w:bCs w:val="false"/>
          <w:sz w:val="20"/>
          <w:szCs w:val="20"/>
        </w:rPr>
        <w:t xml:space="preserve">Use Case: Automated extraction of vendor invoice data from PDF documents submitted via email.</w:t>
      </w:r>
    </w:p>
    <w:p>
      <w:pPr>
        <w:spacing w:before="60" w:after="60"/>
      </w:pPr>
      <w:r>
        <w:rPr>
          <w:rFonts w:ascii="Arial" w:cs="Arial" w:eastAsia="Arial" w:hAnsi="Arial"/>
          <w:b w:val="false"/>
          <w:bCs w:val="false"/>
          <w:sz w:val="20"/>
          <w:szCs w:val="20"/>
        </w:rPr>
        <w:t xml:space="preserve">Architecture: Email → BTP Integration Suite email adapter → DOX API for field extraction (vendor, amount, line items) → Matched against S/4HANA PO via Integration Suite → Auto-posted if confidence &gt; 95%.</w:t>
      </w:r>
    </w:p>
    <w:p>
      <w:pPr>
        <w:spacing w:before="60" w:after="60"/>
      </w:pPr>
      <w:r>
        <w:rPr>
          <w:rFonts w:ascii="Arial" w:cs="Arial" w:eastAsia="Arial" w:hAnsi="Arial"/>
          <w:b w:val="false"/>
          <w:bCs w:val="false"/>
          <w:sz w:val="20"/>
          <w:szCs w:val="20"/>
        </w:rPr>
        <w:t xml:space="preserve">Result: Reduced manual invoice entry by 70% for structured PDF invoices. DOX accuracy was 94% out of the box, improved to 97% with custom schema training.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DOX is a concrete, production-tested AI example — very credible</w:t>
            </w:r>
          </w:p>
          <w:p>
            <w:pPr>
              <w:pStyle w:val="ListParagraph"/>
              <w:numPr>
                <w:ilvl w:val="0"/>
                <w:numId w:val="2"/>
              </w:numPr>
              <w:spacing w:before="40" w:after="40"/>
            </w:pPr>
            <w:r>
              <w:rPr>
                <w:rFonts w:ascii="Arial" w:cs="Arial" w:eastAsia="Arial" w:hAnsi="Arial"/>
                <w:sz w:val="20"/>
                <w:szCs w:val="20"/>
              </w:rPr>
              <w:t xml:space="preserve">The AI Core pilot architecture demonstrates strategic vision even without full production deployment</w:t>
            </w:r>
          </w:p>
          <w:p>
            <w:pPr>
              <w:pStyle w:val="ListParagraph"/>
              <w:numPr>
                <w:ilvl w:val="0"/>
                <w:numId w:val="2"/>
              </w:numPr>
              <w:spacing w:before="40" w:after="40"/>
            </w:pPr>
            <w:r>
              <w:rPr>
                <w:rFonts w:ascii="Arial" w:cs="Arial" w:eastAsia="Arial" w:hAnsi="Arial"/>
                <w:sz w:val="20"/>
                <w:szCs w:val="20"/>
              </w:rPr>
              <w:t xml:space="preserve">97% accuracy after custom training shows you went beyond out-of-the-box and tuned the model</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Q16: What is your experience with Node.js or Java runtime on BTP Cloud Foundry for CAP applications?</w:t>
      </w:r>
    </w:p>
    <w:p>
      <w:pPr>
        <w:spacing w:before="60" w:after="60"/>
      </w:pPr>
      <w:r>
        <w:rPr>
          <w:rFonts w:ascii="Arial" w:cs="Arial" w:eastAsia="Arial" w:hAnsi="Arial"/>
          <w:b w:val="false"/>
          <w:bCs w:val="false"/>
          <w:sz w:val="20"/>
          <w:szCs w:val="20"/>
        </w:rPr>
        <w:t xml:space="preserve">My primary CAP experience is with Node.js runtime on BTP Cloud Foundry, with architectural oversight of Java-based CAP services built by my team.</w:t>
      </w:r>
    </w:p>
    <w:p>
      <w:pPr>
        <w:spacing w:before="120" w:after="60"/>
      </w:pPr>
      <w:r>
        <w:rPr>
          <w:rFonts w:ascii="Arial" w:cs="Arial" w:eastAsia="Arial" w:hAnsi="Arial"/>
          <w:b/>
          <w:bCs/>
          <w:sz w:val="20"/>
          <w:szCs w:val="20"/>
        </w:rPr>
        <w:t xml:space="preserve">NODE.JS CAP EXPERIENCE:</w:t>
      </w:r>
    </w:p>
    <w:p>
      <w:pPr>
        <w:pStyle w:val="ListParagraph"/>
        <w:numPr>
          <w:ilvl w:val="0"/>
          <w:numId w:val="2"/>
        </w:numPr>
        <w:spacing w:before="40" w:after="40"/>
      </w:pPr>
      <w:r>
        <w:rPr>
          <w:rFonts w:ascii="Arial" w:cs="Arial" w:eastAsia="Arial" w:hAnsi="Arial"/>
          <w:sz w:val="20"/>
          <w:szCs w:val="20"/>
        </w:rPr>
        <w:t xml:space="preserve">Built a CAP-based event processing microservice on BTP CF that consumed Advanced Event Mesh events and orchestrated multi-system updates (S/4HANA + external WMS via REST APIs)</w:t>
      </w:r>
    </w:p>
    <w:p>
      <w:pPr>
        <w:pStyle w:val="ListParagraph"/>
        <w:numPr>
          <w:ilvl w:val="0"/>
          <w:numId w:val="2"/>
        </w:numPr>
        <w:spacing w:before="40" w:after="40"/>
      </w:pPr>
      <w:r>
        <w:rPr>
          <w:rFonts w:ascii="Arial" w:cs="Arial" w:eastAsia="Arial" w:hAnsi="Arial"/>
          <w:sz w:val="20"/>
          <w:szCs w:val="20"/>
        </w:rPr>
        <w:t xml:space="preserve">Used @sap/cds and @sap/cds-dk packages; CDS models defined schema and service; auto-generated OData V4 endpoints</w:t>
      </w:r>
    </w:p>
    <w:p>
      <w:pPr>
        <w:pStyle w:val="ListParagraph"/>
        <w:numPr>
          <w:ilvl w:val="0"/>
          <w:numId w:val="2"/>
        </w:numPr>
        <w:spacing w:before="40" w:after="40"/>
      </w:pPr>
      <w:r>
        <w:rPr>
          <w:rFonts w:ascii="Arial" w:cs="Arial" w:eastAsia="Arial" w:hAnsi="Arial"/>
          <w:sz w:val="20"/>
          <w:szCs w:val="20"/>
        </w:rPr>
        <w:t xml:space="preserve">Leveraged cf push with manifest.yml for deployment; bound to XSUAA, Destination Service, and AEM service instances</w:t>
      </w:r>
    </w:p>
    <w:p>
      <w:pPr>
        <w:pStyle w:val="ListParagraph"/>
        <w:numPr>
          <w:ilvl w:val="0"/>
          <w:numId w:val="2"/>
        </w:numPr>
        <w:spacing w:before="40" w:after="40"/>
      </w:pPr>
      <w:r>
        <w:rPr>
          <w:rFonts w:ascii="Arial" w:cs="Arial" w:eastAsia="Arial" w:hAnsi="Arial"/>
          <w:sz w:val="20"/>
          <w:szCs w:val="20"/>
        </w:rPr>
        <w:t xml:space="preserve">Implemented custom event handlers in Node.js for complex business logic not expressible in CDS annotations</w:t>
      </w:r>
    </w:p>
    <w:p>
      <w:pPr>
        <w:spacing w:before="120" w:after="60"/>
      </w:pPr>
      <w:r>
        <w:rPr>
          <w:rFonts w:ascii="Arial" w:cs="Arial" w:eastAsia="Arial" w:hAnsi="Arial"/>
          <w:b/>
          <w:bCs/>
          <w:sz w:val="20"/>
          <w:szCs w:val="20"/>
        </w:rPr>
        <w:t xml:space="preserve">JAVA CAP EXPERIENCE (Architecture + Review):</w:t>
      </w:r>
    </w:p>
    <w:p>
      <w:pPr>
        <w:pStyle w:val="ListParagraph"/>
        <w:numPr>
          <w:ilvl w:val="0"/>
          <w:numId w:val="2"/>
        </w:numPr>
        <w:spacing w:before="40" w:after="40"/>
      </w:pPr>
      <w:r>
        <w:rPr>
          <w:rFonts w:ascii="Arial" w:cs="Arial" w:eastAsia="Arial" w:hAnsi="Arial"/>
          <w:sz w:val="20"/>
          <w:szCs w:val="20"/>
        </w:rPr>
        <w:t xml:space="preserve">Governed architecture of Java-based CAP services on my team — Spring Boot integration with CDS4J, Maven-based build pipeline, Cloud Foundry Java buildpack</w:t>
      </w:r>
    </w:p>
    <w:p>
      <w:pPr>
        <w:pStyle w:val="ListParagraph"/>
        <w:numPr>
          <w:ilvl w:val="0"/>
          <w:numId w:val="2"/>
        </w:numPr>
        <w:spacing w:before="40" w:after="40"/>
      </w:pPr>
      <w:r>
        <w:rPr>
          <w:rFonts w:ascii="Arial" w:cs="Arial" w:eastAsia="Arial" w:hAnsi="Arial"/>
          <w:sz w:val="20"/>
          <w:szCs w:val="20"/>
        </w:rPr>
        <w:t xml:space="preserve">Java preferred when: team has strong Java background, complex computation, or Spring ecosystem integration needed</w:t>
      </w:r>
    </w:p>
    <w:p>
      <w:pPr>
        <w:spacing w:before="120" w:after="60"/>
      </w:pPr>
      <w:r>
        <w:rPr>
          <w:rFonts w:ascii="Arial" w:cs="Arial" w:eastAsia="Arial" w:hAnsi="Arial"/>
          <w:b/>
          <w:bCs/>
          <w:sz w:val="20"/>
          <w:szCs w:val="20"/>
        </w:rPr>
        <w:t xml:space="preserve">OPERATIONAL LEARNINGS:</w:t>
      </w:r>
    </w:p>
    <w:p>
      <w:pPr>
        <w:pStyle w:val="ListParagraph"/>
        <w:numPr>
          <w:ilvl w:val="0"/>
          <w:numId w:val="2"/>
        </w:numPr>
        <w:spacing w:before="40" w:after="40"/>
      </w:pPr>
      <w:r>
        <w:rPr>
          <w:rFonts w:ascii="Arial" w:cs="Arial" w:eastAsia="Arial" w:hAnsi="Arial"/>
          <w:sz w:val="20"/>
          <w:szCs w:val="20"/>
        </w:rPr>
        <w:t xml:space="preserve">Always externalize config via BTP User Provided Services (UPS) — never hardcode credentials</w:t>
      </w:r>
    </w:p>
    <w:p>
      <w:pPr>
        <w:pStyle w:val="ListParagraph"/>
        <w:numPr>
          <w:ilvl w:val="0"/>
          <w:numId w:val="2"/>
        </w:numPr>
        <w:spacing w:before="40" w:after="40"/>
      </w:pPr>
      <w:r>
        <w:rPr>
          <w:rFonts w:ascii="Arial" w:cs="Arial" w:eastAsia="Arial" w:hAnsi="Arial"/>
          <w:sz w:val="20"/>
          <w:szCs w:val="20"/>
        </w:rPr>
        <w:t xml:space="preserve">Implement health check endpoints for CF application container monitoring</w:t>
      </w:r>
    </w:p>
    <w:p>
      <w:pPr>
        <w:pStyle w:val="ListParagraph"/>
        <w:numPr>
          <w:ilvl w:val="0"/>
          <w:numId w:val="2"/>
        </w:numPr>
        <w:spacing w:before="40" w:after="40"/>
      </w:pPr>
      <w:r>
        <w:rPr>
          <w:rFonts w:ascii="Arial" w:cs="Arial" w:eastAsia="Arial" w:hAnsi="Arial"/>
          <w:sz w:val="20"/>
          <w:szCs w:val="20"/>
        </w:rPr>
        <w:t xml:space="preserve">Use CF autoscaling for event-driven workloads with variable load</w:t>
      </w:r>
    </w:p>
    <w:p>
      <w:pPr>
        <w:pStyle w:val="ListParagraph"/>
        <w:numPr>
          <w:ilvl w:val="0"/>
          <w:numId w:val="2"/>
        </w:numPr>
        <w:spacing w:before="40" w:after="40"/>
      </w:pPr>
      <w:r>
        <w:rPr>
          <w:rFonts w:ascii="Arial" w:cs="Arial" w:eastAsia="Arial" w:hAnsi="Arial"/>
          <w:sz w:val="20"/>
          <w:szCs w:val="20"/>
        </w:rPr>
        <w:t xml:space="preserve">Log to BTP Application Logging Service (Kibana) for centralized observability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Being honest about Node.js as primary / Java as oversight is credible — don't overstate Java depth</w:t>
            </w:r>
          </w:p>
          <w:p>
            <w:pPr>
              <w:pStyle w:val="ListParagraph"/>
              <w:numPr>
                <w:ilvl w:val="0"/>
                <w:numId w:val="2"/>
              </w:numPr>
              <w:spacing w:before="40" w:after="40"/>
            </w:pPr>
            <w:r>
              <w:rPr>
                <w:rFonts w:ascii="Arial" w:cs="Arial" w:eastAsia="Arial" w:hAnsi="Arial"/>
                <w:sz w:val="20"/>
                <w:szCs w:val="20"/>
              </w:rPr>
              <w:t xml:space="preserve">CF operational details (manifest.yml, health checks, autoscaling) show production experience, not just hello-world</w:t>
            </w:r>
          </w:p>
          <w:p>
            <w:pPr>
              <w:pStyle w:val="ListParagraph"/>
              <w:numPr>
                <w:ilvl w:val="0"/>
                <w:numId w:val="2"/>
              </w:numPr>
              <w:spacing w:before="40" w:after="40"/>
            </w:pPr>
            <w:r>
              <w:rPr>
                <w:rFonts w:ascii="Arial" w:cs="Arial" w:eastAsia="Arial" w:hAnsi="Arial"/>
                <w:sz w:val="20"/>
                <w:szCs w:val="20"/>
              </w:rPr>
              <w:t xml:space="preserve">Externalizing config via UPS is a security best practice — shows mature cloud engineering</w:t>
            </w:r>
          </w:p>
        </w:tc>
      </w:tr>
    </w:tbl>
    <w:p>
      <w:pPr>
        <w:spacing w:before="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120"/>
            </w:tcMar>
          </w:tcPr>
          <w:p>
            <w:r>
              <w:rPr>
                <w:rFonts w:ascii="Arial" w:cs="Arial" w:eastAsia="Arial" w:hAnsi="Arial"/>
                <w:b/>
                <w:bCs/>
                <w:color w:val="FFFFFF"/>
                <w:sz w:val="28"/>
                <w:szCs w:val="28"/>
              </w:rPr>
              <w:t xml:space="preserve">SECTION 5: BTP Integration Suite (Good to Have)</w:t>
            </w:r>
          </w:p>
        </w:tc>
      </w:tr>
    </w:tbl>
    <w:p>
      <w:pPr>
        <w:spacing w:before="0" w:after="12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Q17: How does API Management complement CPI/Cloud Integration in an enterprise landscape?</w:t>
      </w:r>
    </w:p>
    <w:p>
      <w:pPr>
        <w:spacing w:before="120" w:after="60"/>
      </w:pPr>
      <w:r>
        <w:rPr>
          <w:rFonts w:ascii="Arial" w:cs="Arial" w:eastAsia="Arial" w:hAnsi="Arial"/>
          <w:b/>
          <w:bCs/>
          <w:sz w:val="20"/>
          <w:szCs w:val="20"/>
        </w:rPr>
        <w:t xml:space="preserve">CPI (Cloud Platform Integration / Cloud Integration) and API Management serve distinct but complementary roles:</w:t>
      </w:r>
    </w:p>
    <w:p>
      <w:pPr>
        <w:spacing w:before="60" w:after="60"/>
      </w:pPr>
      <w:r>
        <w:rPr>
          <w:rFonts w:ascii="Arial" w:cs="Arial" w:eastAsia="Arial" w:hAnsi="Arial"/>
          <w:b w:val="false"/>
          <w:bCs w:val="false"/>
          <w:sz w:val="20"/>
          <w:szCs w:val="20"/>
        </w:rPr>
        <w:t xml:space="preserve">CPI / Cloud Integration: The integration middleware — responsible for message transformation, routing, protocol conversion (IDoc to REST, SOAP to JSON), and process orchestration. It's the 'pipe' that moves data between systems.</w:t>
      </w:r>
    </w:p>
    <w:p>
      <w:pPr>
        <w:spacing w:before="60" w:after="60"/>
      </w:pPr>
      <w:r>
        <w:rPr>
          <w:rFonts w:ascii="Arial" w:cs="Arial" w:eastAsia="Arial" w:hAnsi="Arial"/>
          <w:b w:val="false"/>
          <w:bCs w:val="false"/>
          <w:sz w:val="20"/>
          <w:szCs w:val="20"/>
        </w:rPr>
        <w:t xml:space="preserve">API Management: The API gateway layer — responsible for exposing APIs securely, enforcing rate limits, managing API versioning, monetization, and providing a developer portal for API discovery and self-service.</w:t>
      </w:r>
    </w:p>
    <w:p>
      <w:pPr>
        <w:spacing w:before="120" w:after="60"/>
      </w:pPr>
      <w:r>
        <w:rPr>
          <w:rFonts w:ascii="Arial" w:cs="Arial" w:eastAsia="Arial" w:hAnsi="Arial"/>
          <w:b/>
          <w:bCs/>
          <w:sz w:val="20"/>
          <w:szCs w:val="20"/>
        </w:rPr>
        <w:t xml:space="preserve">HOW THEY COMPLEMENT EACH OTHER:</w:t>
      </w:r>
    </w:p>
    <w:p>
      <w:pPr>
        <w:pStyle w:val="ListParagraph"/>
        <w:numPr>
          <w:ilvl w:val="0"/>
          <w:numId w:val="2"/>
        </w:numPr>
        <w:spacing w:before="40" w:after="40"/>
      </w:pPr>
      <w:r>
        <w:rPr>
          <w:rFonts w:ascii="Arial" w:cs="Arial" w:eastAsia="Arial" w:hAnsi="Arial"/>
          <w:sz w:val="20"/>
          <w:szCs w:val="20"/>
        </w:rPr>
        <w:t xml:space="preserve">CPI handles the integration logic internally (B2B, system-to-system). API Management exposes services externally to developers, partners, and SaaS consumers.</w:t>
      </w:r>
    </w:p>
    <w:p>
      <w:pPr>
        <w:pStyle w:val="ListParagraph"/>
        <w:numPr>
          <w:ilvl w:val="0"/>
          <w:numId w:val="2"/>
        </w:numPr>
        <w:spacing w:before="40" w:after="40"/>
      </w:pPr>
      <w:r>
        <w:rPr>
          <w:rFonts w:ascii="Arial" w:cs="Arial" w:eastAsia="Arial" w:hAnsi="Arial"/>
          <w:sz w:val="20"/>
          <w:szCs w:val="20"/>
        </w:rPr>
        <w:t xml:space="preserve">In an event: External partner calls API Management endpoint → API Management authenticates, rate-limits, and routes → Calls CPI iFlow endpoint → CPI transforms and routes to S/4HANA.</w:t>
      </w:r>
    </w:p>
    <w:p>
      <w:pPr>
        <w:pStyle w:val="ListParagraph"/>
        <w:numPr>
          <w:ilvl w:val="0"/>
          <w:numId w:val="2"/>
        </w:numPr>
        <w:spacing w:before="40" w:after="40"/>
      </w:pPr>
      <w:r>
        <w:rPr>
          <w:rFonts w:ascii="Arial" w:cs="Arial" w:eastAsia="Arial" w:hAnsi="Arial"/>
          <w:sz w:val="20"/>
          <w:szCs w:val="20"/>
        </w:rPr>
        <w:t xml:space="preserve">API Management provides analytics on who is consuming which APIs and at what volume — critical for partner API programs.</w:t>
      </w:r>
    </w:p>
    <w:p>
      <w:pPr>
        <w:pStyle w:val="ListParagraph"/>
        <w:numPr>
          <w:ilvl w:val="0"/>
          <w:numId w:val="2"/>
        </w:numPr>
        <w:spacing w:before="40" w:after="40"/>
      </w:pPr>
      <w:r>
        <w:rPr>
          <w:rFonts w:ascii="Arial" w:cs="Arial" w:eastAsia="Arial" w:hAnsi="Arial"/>
          <w:sz w:val="20"/>
          <w:szCs w:val="20"/>
        </w:rPr>
        <w:t xml:space="preserve">Together they implement a full API lifecycle: design (OpenAPI spec in API Management), integration logic (CPI iFlow), and governance (API Management policies).</w:t>
      </w:r>
    </w:p>
    <w:p>
      <w:pPr>
        <w:spacing w:before="60" w:after="60"/>
      </w:pPr>
      <w:r>
        <w:rPr>
          <w:rFonts w:ascii="Arial" w:cs="Arial" w:eastAsia="Arial" w:hAnsi="Arial"/>
          <w:b w:val="false"/>
          <w:bCs w:val="false"/>
          <w:sz w:val="20"/>
          <w:szCs w:val="20"/>
        </w:rPr>
        <w:t xml:space="preserve">AT AMGEN: I designed an API management layer on top of CPI iFlows to expose S/4HANA material master and batch status APIs to external CMO (Contract Manufacturing Organization) partners — with OAuth 2.0 client credentials flow, rate limiting, and IP whitelisting enforced at the API Management layer.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The CMO partner API example at Amgen is concrete and relevant to regulated industries</w:t>
            </w:r>
          </w:p>
          <w:p>
            <w:pPr>
              <w:pStyle w:val="ListParagraph"/>
              <w:numPr>
                <w:ilvl w:val="0"/>
                <w:numId w:val="2"/>
              </w:numPr>
              <w:spacing w:before="40" w:after="40"/>
            </w:pPr>
            <w:r>
              <w:rPr>
                <w:rFonts w:ascii="Arial" w:cs="Arial" w:eastAsia="Arial" w:hAnsi="Arial"/>
                <w:sz w:val="20"/>
                <w:szCs w:val="20"/>
              </w:rPr>
              <w:t xml:space="preserve">Framing API Management as 'external-facing' vs. CPI as 'internal pipe' is a crisp distinction</w:t>
            </w:r>
          </w:p>
          <w:p>
            <w:pPr>
              <w:pStyle w:val="ListParagraph"/>
              <w:numPr>
                <w:ilvl w:val="0"/>
                <w:numId w:val="2"/>
              </w:numPr>
              <w:spacing w:before="40" w:after="40"/>
            </w:pPr>
            <w:r>
              <w:rPr>
                <w:rFonts w:ascii="Arial" w:cs="Arial" w:eastAsia="Arial" w:hAnsi="Arial"/>
                <w:sz w:val="20"/>
                <w:szCs w:val="20"/>
              </w:rPr>
              <w:t xml:space="preserve">OAuth 2.0 + rate limiting + IP whitelist = enterprise security pattern that impresses</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Q18: Describe an event-driven integration scenario you designed using Advanced Event Mesh. What triggered the decision to go event-driven vs. synchronous?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E74B5" w:sz="1"/>
              <w:left w:val="single" w:color="2E74B5" w:sz="1"/>
              <w:bottom w:val="single" w:color="2E74B5" w:sz="1"/>
              <w:right w:val="single" w:color="2E74B5" w:sz="1"/>
            </w:tcBorders>
            <w:shd w:fill="2E74B5" w:val="clear"/>
            <w:tcMar>
              <w:top w:type="dxa" w:w="80"/>
              <w:left w:type="dxa" w:w="180"/>
              <w:bottom w:type="dxa" w:w="80"/>
              <w:right w:type="dxa" w:w="120"/>
            </w:tcMar>
          </w:tcPr>
          <w:p>
            <w:r>
              <w:rPr>
                <w:rFonts w:ascii="Arial" w:cs="Arial" w:eastAsia="Arial" w:hAnsi="Arial"/>
                <w:b/>
                <w:bCs/>
                <w:color w:val="FFFFFF"/>
                <w:sz w:val="22"/>
                <w:szCs w:val="22"/>
              </w:rPr>
              <w:t xml:space="preserve">STAR Response</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SITUATION</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At Johnson Controls, goods receipts in S/4HANA needed to trigger downstream actions across 3 systems: external WMS (warehouse management), a quality inspection workflow (QM), and an ERP reporting data mart — all in near-real-time.</w:t>
            </w:r>
          </w:p>
        </w:tc>
      </w:tr>
      <w:tr>
        <w:tc>
          <w:tcPr>
            <w:tcW w:type="dxa" w:w="1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1E6B3C"/>
                <w:sz w:val="20"/>
                <w:szCs w:val="20"/>
              </w:rPr>
              <w:t xml:space="preserve">TASK</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Design an integration pattern that was resilient, decoupled, and scalable — replacing an existing synchronous BAPI call chain that caused cascading failures whenever one downstream system was unavailable.</w:t>
            </w:r>
          </w:p>
        </w:tc>
      </w:tr>
      <w:tr>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b/>
                <w:bCs/>
                <w:color w:val="843C0C"/>
                <w:sz w:val="20"/>
                <w:szCs w:val="20"/>
              </w:rPr>
              <w:t xml:space="preserve">ACTION</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I moved from synchronous BAPI chains to an event-driven architecture using SAP Advanced Event Mesh (AEM) as the event broker. S/4HANA published GR events to AEM topics (using SAP Event Specification schema). Three independent consumers subscribed: (1) WMS consumer — triggered inventory sync; (2) QM consumer — spawned inspection lot; (3) Reporting consumer — updated data mart. Each consumer had independent retry and dead-letter queue handling.</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816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20"/>
                <w:szCs w:val="20"/>
              </w:rPr>
              <w:t xml:space="preserve">System resilience improved dramatically — WMS downtime no longer impacted QM or reporting. Event processing latency was under 500ms end-to-end. The event backlog capability meant no data loss during planned maintenance windows. Decoupling also allowed each downstream team to deploy independently.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The 'cascading failure' problem is a clear business justification for event-driven — always lead with the WHY</w:t>
            </w:r>
          </w:p>
          <w:p>
            <w:pPr>
              <w:pStyle w:val="ListParagraph"/>
              <w:numPr>
                <w:ilvl w:val="0"/>
                <w:numId w:val="2"/>
              </w:numPr>
              <w:spacing w:before="40" w:after="40"/>
            </w:pPr>
            <w:r>
              <w:rPr>
                <w:rFonts w:ascii="Arial" w:cs="Arial" w:eastAsia="Arial" w:hAnsi="Arial"/>
                <w:sz w:val="20"/>
                <w:szCs w:val="20"/>
              </w:rPr>
              <w:t xml:space="preserve">Dead-letter queue handling shows production-grade thinking</w:t>
            </w:r>
          </w:p>
          <w:p>
            <w:pPr>
              <w:pStyle w:val="ListParagraph"/>
              <w:numPr>
                <w:ilvl w:val="0"/>
                <w:numId w:val="2"/>
              </w:numPr>
              <w:spacing w:before="40" w:after="40"/>
            </w:pPr>
            <w:r>
              <w:rPr>
                <w:rFonts w:ascii="Arial" w:cs="Arial" w:eastAsia="Arial" w:hAnsi="Arial"/>
                <w:sz w:val="20"/>
                <w:szCs w:val="20"/>
              </w:rPr>
              <w:t xml:space="preserve">The decoupled deployment benefit resonates with DevOps-mature organizations</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Q19: How do you handle error handling and monitoring strategies in BTP Integration Suite iFlows?</w:t>
      </w:r>
    </w:p>
    <w:p>
      <w:pPr>
        <w:spacing w:before="120" w:after="60"/>
      </w:pPr>
      <w:r>
        <w:rPr>
          <w:rFonts w:ascii="Arial" w:cs="Arial" w:eastAsia="Arial" w:hAnsi="Arial"/>
          <w:b/>
          <w:bCs/>
          <w:sz w:val="20"/>
          <w:szCs w:val="20"/>
        </w:rPr>
        <w:t xml:space="preserve">ERROR HANDLING STRATEGY — Three Layers:</w:t>
      </w:r>
    </w:p>
    <w:p>
      <w:pPr>
        <w:spacing w:before="120" w:after="60"/>
      </w:pPr>
      <w:r>
        <w:rPr>
          <w:rFonts w:ascii="Arial" w:cs="Arial" w:eastAsia="Arial" w:hAnsi="Arial"/>
          <w:b/>
          <w:bCs/>
          <w:sz w:val="20"/>
          <w:szCs w:val="20"/>
        </w:rPr>
        <w:t xml:space="preserve">Layer 1 — Exception Subprocess in iFlow:</w:t>
      </w:r>
    </w:p>
    <w:p>
      <w:pPr>
        <w:pStyle w:val="ListParagraph"/>
        <w:numPr>
          <w:ilvl w:val="0"/>
          <w:numId w:val="2"/>
        </w:numPr>
        <w:spacing w:before="40" w:after="40"/>
      </w:pPr>
      <w:r>
        <w:rPr>
          <w:rFonts w:ascii="Arial" w:cs="Arial" w:eastAsia="Arial" w:hAnsi="Arial"/>
          <w:sz w:val="20"/>
          <w:szCs w:val="20"/>
        </w:rPr>
        <w:t xml:space="preserve">Every iFlow has a dedicated Exception Subprocess that catches all exceptions</w:t>
      </w:r>
    </w:p>
    <w:p>
      <w:pPr>
        <w:pStyle w:val="ListParagraph"/>
        <w:numPr>
          <w:ilvl w:val="0"/>
          <w:numId w:val="2"/>
        </w:numPr>
        <w:spacing w:before="40" w:after="40"/>
      </w:pPr>
      <w:r>
        <w:rPr>
          <w:rFonts w:ascii="Arial" w:cs="Arial" w:eastAsia="Arial" w:hAnsi="Arial"/>
          <w:sz w:val="20"/>
          <w:szCs w:val="20"/>
        </w:rPr>
        <w:t xml:space="preserve">Captures: error message, source system, timestamp, message payload (truncated for PII)</w:t>
      </w:r>
    </w:p>
    <w:p>
      <w:pPr>
        <w:pStyle w:val="ListParagraph"/>
        <w:numPr>
          <w:ilvl w:val="0"/>
          <w:numId w:val="2"/>
        </w:numPr>
        <w:spacing w:before="40" w:after="40"/>
      </w:pPr>
      <w:r>
        <w:rPr>
          <w:rFonts w:ascii="Arial" w:cs="Arial" w:eastAsia="Arial" w:hAnsi="Arial"/>
          <w:sz w:val="20"/>
          <w:szCs w:val="20"/>
        </w:rPr>
        <w:t xml:space="preserve">Sends structured error notification to monitoring queue / alerting channel (Slack or email via adapter)</w:t>
      </w:r>
    </w:p>
    <w:p>
      <w:pPr>
        <w:spacing w:before="120" w:after="60"/>
      </w:pPr>
      <w:r>
        <w:rPr>
          <w:rFonts w:ascii="Arial" w:cs="Arial" w:eastAsia="Arial" w:hAnsi="Arial"/>
          <w:b/>
          <w:bCs/>
          <w:sz w:val="20"/>
          <w:szCs w:val="20"/>
        </w:rPr>
        <w:t xml:space="preserve">Layer 2 — Dead Letter Queue (DLQ) Pattern:</w:t>
      </w:r>
    </w:p>
    <w:p>
      <w:pPr>
        <w:pStyle w:val="ListParagraph"/>
        <w:numPr>
          <w:ilvl w:val="0"/>
          <w:numId w:val="2"/>
        </w:numPr>
        <w:spacing w:before="40" w:after="40"/>
      </w:pPr>
      <w:r>
        <w:rPr>
          <w:rFonts w:ascii="Arial" w:cs="Arial" w:eastAsia="Arial" w:hAnsi="Arial"/>
          <w:sz w:val="20"/>
          <w:szCs w:val="20"/>
        </w:rPr>
        <w:t xml:space="preserve">For event-driven iFlows: Failed messages after 3 retries route to AEM DLQ topic</w:t>
      </w:r>
    </w:p>
    <w:p>
      <w:pPr>
        <w:pStyle w:val="ListParagraph"/>
        <w:numPr>
          <w:ilvl w:val="0"/>
          <w:numId w:val="2"/>
        </w:numPr>
        <w:spacing w:before="40" w:after="40"/>
      </w:pPr>
      <w:r>
        <w:rPr>
          <w:rFonts w:ascii="Arial" w:cs="Arial" w:eastAsia="Arial" w:hAnsi="Arial"/>
          <w:sz w:val="20"/>
          <w:szCs w:val="20"/>
        </w:rPr>
        <w:t xml:space="preserve">DLQ processor iFlow (scheduled) reviews and reprocesses or escalates for manual review</w:t>
      </w:r>
    </w:p>
    <w:p>
      <w:pPr>
        <w:pStyle w:val="ListParagraph"/>
        <w:numPr>
          <w:ilvl w:val="0"/>
          <w:numId w:val="2"/>
        </w:numPr>
        <w:spacing w:before="40" w:after="40"/>
      </w:pPr>
      <w:r>
        <w:rPr>
          <w:rFonts w:ascii="Arial" w:cs="Arial" w:eastAsia="Arial" w:hAnsi="Arial"/>
          <w:sz w:val="20"/>
          <w:szCs w:val="20"/>
        </w:rPr>
        <w:t xml:space="preserve">Ensures zero message loss — critical for financial and compliance data</w:t>
      </w:r>
    </w:p>
    <w:p>
      <w:pPr>
        <w:spacing w:before="120" w:after="60"/>
      </w:pPr>
      <w:r>
        <w:rPr>
          <w:rFonts w:ascii="Arial" w:cs="Arial" w:eastAsia="Arial" w:hAnsi="Arial"/>
          <w:b/>
          <w:bCs/>
          <w:sz w:val="20"/>
          <w:szCs w:val="20"/>
        </w:rPr>
        <w:t xml:space="preserve">Layer 3 — SAP Integration Suite Monitoring + Custom Alerting:</w:t>
      </w:r>
    </w:p>
    <w:p>
      <w:pPr>
        <w:pStyle w:val="ListParagraph"/>
        <w:numPr>
          <w:ilvl w:val="0"/>
          <w:numId w:val="2"/>
        </w:numPr>
        <w:spacing w:before="40" w:after="40"/>
      </w:pPr>
      <w:r>
        <w:rPr>
          <w:rFonts w:ascii="Arial" w:cs="Arial" w:eastAsia="Arial" w:hAnsi="Arial"/>
          <w:sz w:val="20"/>
          <w:szCs w:val="20"/>
        </w:rPr>
        <w:t xml:space="preserve">Use BTP Integration Suite Operations dashboard for real-time iFlow message monitoring</w:t>
      </w:r>
    </w:p>
    <w:p>
      <w:pPr>
        <w:pStyle w:val="ListParagraph"/>
        <w:numPr>
          <w:ilvl w:val="0"/>
          <w:numId w:val="2"/>
        </w:numPr>
        <w:spacing w:before="40" w:after="40"/>
      </w:pPr>
      <w:r>
        <w:rPr>
          <w:rFonts w:ascii="Arial" w:cs="Arial" w:eastAsia="Arial" w:hAnsi="Arial"/>
          <w:sz w:val="20"/>
          <w:szCs w:val="20"/>
        </w:rPr>
        <w:t xml:space="preserve">Custom KPI dashboard in SAP Analytics Cloud (SAC) built on BTP Application Logging Service data</w:t>
      </w:r>
    </w:p>
    <w:p>
      <w:pPr>
        <w:pStyle w:val="ListParagraph"/>
        <w:numPr>
          <w:ilvl w:val="0"/>
          <w:numId w:val="2"/>
        </w:numPr>
        <w:spacing w:before="40" w:after="40"/>
      </w:pPr>
      <w:r>
        <w:rPr>
          <w:rFonts w:ascii="Arial" w:cs="Arial" w:eastAsia="Arial" w:hAnsi="Arial"/>
          <w:sz w:val="20"/>
          <w:szCs w:val="20"/>
        </w:rPr>
        <w:t xml:space="preserve">Threshold-based alerts: &gt; 5 errors/hour triggers PagerDuty alert to on-call team</w:t>
      </w:r>
    </w:p>
    <w:p>
      <w:pPr>
        <w:spacing w:before="120" w:after="60"/>
      </w:pPr>
      <w:r>
        <w:rPr>
          <w:rFonts w:ascii="Arial" w:cs="Arial" w:eastAsia="Arial" w:hAnsi="Arial"/>
          <w:b/>
          <w:bCs/>
          <w:sz w:val="20"/>
          <w:szCs w:val="20"/>
        </w:rPr>
        <w:t xml:space="preserve">IDEMPOTENCY:</w:t>
      </w:r>
    </w:p>
    <w:p>
      <w:pPr>
        <w:pStyle w:val="ListParagraph"/>
        <w:numPr>
          <w:ilvl w:val="0"/>
          <w:numId w:val="2"/>
        </w:numPr>
        <w:spacing w:before="40" w:after="40"/>
      </w:pPr>
      <w:r>
        <w:rPr>
          <w:rFonts w:ascii="Arial" w:cs="Arial" w:eastAsia="Arial" w:hAnsi="Arial"/>
          <w:sz w:val="20"/>
          <w:szCs w:val="20"/>
        </w:rPr>
        <w:t xml:space="preserve">All iFlows designed to be idempotent — duplicate message detection using message ID correlation in an Integration Suite data store</w:t>
      </w:r>
    </w:p>
    <w:p>
      <w:pPr>
        <w:pStyle w:val="ListParagraph"/>
        <w:numPr>
          <w:ilvl w:val="0"/>
          <w:numId w:val="2"/>
        </w:numPr>
        <w:spacing w:before="40" w:after="40"/>
      </w:pPr>
      <w:r>
        <w:rPr>
          <w:rFonts w:ascii="Arial" w:cs="Arial" w:eastAsia="Arial" w:hAnsi="Arial"/>
          <w:sz w:val="20"/>
          <w:szCs w:val="20"/>
        </w:rPr>
        <w:t xml:space="preserve">Prevents duplicate postings if upstream retries a message that was already processed</w:t>
      </w:r>
    </w:p>
    <w:p>
      <w:pPr>
        <w:spacing w:before="60" w:after="60"/>
      </w:pPr>
      <w:r>
        <w:rPr>
          <w:rFonts w:ascii="Arial" w:cs="Arial" w:eastAsia="Arial" w:hAnsi="Arial"/>
          <w:b w:val="false"/>
          <w:bCs w:val="false"/>
          <w:sz w:val="20"/>
          <w:szCs w:val="20"/>
        </w:rPr>
        <w:t xml:space="preserve">At Amgen, this error handling framework achieved 99.97% message delivery success rate across 2M+ monthly integration messages.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The 3-layer framework (Exception Subprocess, DLQ, Monitoring) is structured and memorable</w:t>
            </w:r>
          </w:p>
          <w:p>
            <w:pPr>
              <w:pStyle w:val="ListParagraph"/>
              <w:numPr>
                <w:ilvl w:val="0"/>
                <w:numId w:val="2"/>
              </w:numPr>
              <w:spacing w:before="40" w:after="40"/>
            </w:pPr>
            <w:r>
              <w:rPr>
                <w:rFonts w:ascii="Arial" w:cs="Arial" w:eastAsia="Arial" w:hAnsi="Arial"/>
                <w:sz w:val="20"/>
                <w:szCs w:val="20"/>
              </w:rPr>
              <w:t xml:space="preserve">Idempotency is often overlooked in interviews — mentioning it signals senior-level thinking</w:t>
            </w:r>
          </w:p>
          <w:p>
            <w:pPr>
              <w:pStyle w:val="ListParagraph"/>
              <w:numPr>
                <w:ilvl w:val="0"/>
                <w:numId w:val="2"/>
              </w:numPr>
              <w:spacing w:before="40" w:after="40"/>
            </w:pPr>
            <w:r>
              <w:rPr>
                <w:rFonts w:ascii="Arial" w:cs="Arial" w:eastAsia="Arial" w:hAnsi="Arial"/>
                <w:sz w:val="20"/>
                <w:szCs w:val="20"/>
              </w:rPr>
              <w:t xml:space="preserve">99.97% delivery rate with the 2M+ message volume is a compelling proof point</w:t>
            </w:r>
          </w:p>
        </w:tc>
      </w:tr>
    </w:tbl>
    <w:p>
      <w:pPr>
        <w:spacing w:before="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120"/>
            </w:tcMar>
          </w:tcPr>
          <w:p>
            <w:r>
              <w:rPr>
                <w:rFonts w:ascii="Arial" w:cs="Arial" w:eastAsia="Arial" w:hAnsi="Arial"/>
                <w:b/>
                <w:bCs/>
                <w:color w:val="FFFFFF"/>
                <w:sz w:val="28"/>
                <w:szCs w:val="28"/>
              </w:rPr>
              <w:t xml:space="preserve">SECTION 6: Solution Architecture &amp; Project Delivery</w:t>
            </w:r>
          </w:p>
        </w:tc>
      </w:tr>
    </w:tbl>
    <w:p>
      <w:pPr>
        <w:spacing w:before="0" w:after="12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Q20: How do you structure a solution architecture document for a cloud-ready SAP implementation?</w:t>
      </w:r>
    </w:p>
    <w:p>
      <w:pPr>
        <w:spacing w:before="120" w:after="60"/>
      </w:pPr>
      <w:r>
        <w:rPr>
          <w:rFonts w:ascii="Arial" w:cs="Arial" w:eastAsia="Arial" w:hAnsi="Arial"/>
          <w:b/>
          <w:bCs/>
          <w:sz w:val="20"/>
          <w:szCs w:val="20"/>
        </w:rPr>
        <w:t xml:space="preserve">My Solution Architecture Document (SAD) follows a structured template with these key sections:</w:t>
      </w:r>
    </w:p>
    <w:p>
      <w:pPr>
        <w:spacing w:before="80" w:after="40"/>
        <w:ind w:left="240"/>
      </w:pPr>
      <w:r>
        <w:rPr>
          <w:rFonts w:ascii="Arial" w:cs="Arial" w:eastAsia="Arial" w:hAnsi="Arial"/>
          <w:b/>
          <w:bCs/>
          <w:color w:val="2E74B5"/>
          <w:sz w:val="20"/>
          <w:szCs w:val="20"/>
        </w:rPr>
        <w:t xml:space="preserve">1. EXECUTIVE SUMMARY: Business drivers, scope, guiding principles (Clean Core, BTP-first, API-driven), and non-negotiables</w:t>
      </w:r>
    </w:p>
    <w:p>
      <w:pPr>
        <w:spacing w:before="80" w:after="40"/>
        <w:ind w:left="240"/>
      </w:pPr>
      <w:r>
        <w:rPr>
          <w:rFonts w:ascii="Arial" w:cs="Arial" w:eastAsia="Arial" w:hAnsi="Arial"/>
          <w:b/>
          <w:bCs/>
          <w:color w:val="2E74B5"/>
          <w:sz w:val="20"/>
          <w:szCs w:val="20"/>
        </w:rPr>
        <w:t xml:space="preserve">2. AS-IS LANDSCAPE: Current system inventory, integration landscape, pain points, and technical debt inventory</w:t>
      </w:r>
    </w:p>
    <w:p>
      <w:pPr>
        <w:spacing w:before="80" w:after="40"/>
        <w:ind w:left="240"/>
      </w:pPr>
      <w:r>
        <w:rPr>
          <w:rFonts w:ascii="Arial" w:cs="Arial" w:eastAsia="Arial" w:hAnsi="Arial"/>
          <w:b/>
          <w:bCs/>
          <w:color w:val="2E74B5"/>
          <w:sz w:val="20"/>
          <w:szCs w:val="20"/>
        </w:rPr>
        <w:t xml:space="preserve">3. TO-BE ARCHITECTURE: Conceptual architecture diagram (C4 model notation), application layer, integration layer, data layer, and security architecture. Highlights SAP Activate phase alignment.</w:t>
      </w:r>
    </w:p>
    <w:p>
      <w:pPr>
        <w:spacing w:before="80" w:after="40"/>
        <w:ind w:left="240"/>
      </w:pPr>
      <w:r>
        <w:rPr>
          <w:rFonts w:ascii="Arial" w:cs="Arial" w:eastAsia="Arial" w:hAnsi="Arial"/>
          <w:b/>
          <w:bCs/>
          <w:color w:val="2E74B5"/>
          <w:sz w:val="20"/>
          <w:szCs w:val="20"/>
        </w:rPr>
        <w:t xml:space="preserve">4. EXTENSION ARCHITECTURE: Tier classification (In-App vs. Side-by-Side), BTP service catalog used, RAP BO model, and CDS view hierarchy</w:t>
      </w:r>
    </w:p>
    <w:p>
      <w:pPr>
        <w:spacing w:before="80" w:after="40"/>
        <w:ind w:left="240"/>
      </w:pPr>
      <w:r>
        <w:rPr>
          <w:rFonts w:ascii="Arial" w:cs="Arial" w:eastAsia="Arial" w:hAnsi="Arial"/>
          <w:b/>
          <w:bCs/>
          <w:color w:val="2E74B5"/>
          <w:sz w:val="20"/>
          <w:szCs w:val="20"/>
        </w:rPr>
        <w:t xml:space="preserve">5. INTEGRATION ARCHITECTURE: Integration topology (point-to-point vs. hub-and-spoke vs. event-driven), iFlow catalog, API inventory, and event mesh topology</w:t>
      </w:r>
    </w:p>
    <w:p>
      <w:pPr>
        <w:spacing w:before="80" w:after="40"/>
        <w:ind w:left="240"/>
      </w:pPr>
      <w:r>
        <w:rPr>
          <w:rFonts w:ascii="Arial" w:cs="Arial" w:eastAsia="Arial" w:hAnsi="Arial"/>
          <w:b/>
          <w:bCs/>
          <w:color w:val="2E74B5"/>
          <w:sz w:val="20"/>
          <w:szCs w:val="20"/>
        </w:rPr>
        <w:t xml:space="preserve">6. DATA MIGRATION ARCHITECTURE: LTMC/LTMOM strategy, cutover plan, reconciliation approach</w:t>
      </w:r>
    </w:p>
    <w:p>
      <w:pPr>
        <w:spacing w:before="80" w:after="40"/>
        <w:ind w:left="240"/>
      </w:pPr>
      <w:r>
        <w:rPr>
          <w:rFonts w:ascii="Arial" w:cs="Arial" w:eastAsia="Arial" w:hAnsi="Arial"/>
          <w:b/>
          <w:bCs/>
          <w:color w:val="2E74B5"/>
          <w:sz w:val="20"/>
          <w:szCs w:val="20"/>
        </w:rPr>
        <w:t xml:space="preserve">7. SECURITY ARCHITECTURE: Identity (IAS/IPS), authorization (PFCG + ABAP DCL), network zones, and data classification</w:t>
      </w:r>
    </w:p>
    <w:p>
      <w:pPr>
        <w:spacing w:before="80" w:after="40"/>
        <w:ind w:left="240"/>
      </w:pPr>
      <w:r>
        <w:rPr>
          <w:rFonts w:ascii="Arial" w:cs="Arial" w:eastAsia="Arial" w:hAnsi="Arial"/>
          <w:b/>
          <w:bCs/>
          <w:color w:val="2E74B5"/>
          <w:sz w:val="20"/>
          <w:szCs w:val="20"/>
        </w:rPr>
        <w:t xml:space="preserve">8. DECISION LOG (ADR): All major architecture decisions with rationale, alternatives considered, and risks</w:t>
      </w:r>
    </w:p>
    <w:p>
      <w:pPr>
        <w:spacing w:before="80" w:after="40"/>
        <w:ind w:left="240"/>
      </w:pPr>
      <w:r>
        <w:rPr>
          <w:rFonts w:ascii="Arial" w:cs="Arial" w:eastAsia="Arial" w:hAnsi="Arial"/>
          <w:b/>
          <w:bCs/>
          <w:color w:val="2E74B5"/>
          <w:sz w:val="20"/>
          <w:szCs w:val="20"/>
        </w:rPr>
        <w:t xml:space="preserve">9. RISKS &amp; MITIGATIONS: Architecture-level risks with probability/impact matrix</w:t>
      </w:r>
    </w:p>
    <w:p>
      <w:pPr>
        <w:spacing w:before="80" w:after="40"/>
        <w:ind w:left="240"/>
      </w:pPr>
      <w:r>
        <w:rPr>
          <w:rFonts w:ascii="Arial" w:cs="Arial" w:eastAsia="Arial" w:hAnsi="Arial"/>
          <w:b/>
          <w:bCs/>
          <w:color w:val="2E74B5"/>
          <w:sz w:val="20"/>
          <w:szCs w:val="20"/>
        </w:rPr>
        <w:t xml:space="preserve">10. ROADMAP: Phased delivery plan with architecture evolution milestones</w:t>
      </w:r>
    </w:p>
    <w:p>
      <w:pPr>
        <w:spacing w:before="60" w:after="60"/>
      </w:pPr>
      <w:r>
        <w:rPr>
          <w:rFonts w:ascii="Arial" w:cs="Arial" w:eastAsia="Arial" w:hAnsi="Arial"/>
          <w:b w:val="false"/>
          <w:bCs w:val="false"/>
          <w:sz w:val="20"/>
          <w:szCs w:val="20"/>
        </w:rPr>
        <w:t xml:space="preserve">TOOLING: Lucidchart for architecture diagrams, Confluence for the SAD body, Jira for ADR tracking. All diagrams follow C4 model (Context → Container → Component) for consistency.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C4 model notation signals architecture maturity — many SAP architects don't use formal notation</w:t>
            </w:r>
          </w:p>
          <w:p>
            <w:pPr>
              <w:pStyle w:val="ListParagraph"/>
              <w:numPr>
                <w:ilvl w:val="0"/>
                <w:numId w:val="2"/>
              </w:numPr>
              <w:spacing w:before="40" w:after="40"/>
            </w:pPr>
            <w:r>
              <w:rPr>
                <w:rFonts w:ascii="Arial" w:cs="Arial" w:eastAsia="Arial" w:hAnsi="Arial"/>
                <w:sz w:val="20"/>
                <w:szCs w:val="20"/>
              </w:rPr>
              <w:t xml:space="preserve">SAP Activate phase alignment shows delivery methodology knowledge</w:t>
            </w:r>
          </w:p>
          <w:p>
            <w:pPr>
              <w:pStyle w:val="ListParagraph"/>
              <w:numPr>
                <w:ilvl w:val="0"/>
                <w:numId w:val="2"/>
              </w:numPr>
              <w:spacing w:before="40" w:after="40"/>
            </w:pPr>
            <w:r>
              <w:rPr>
                <w:rFonts w:ascii="Arial" w:cs="Arial" w:eastAsia="Arial" w:hAnsi="Arial"/>
                <w:sz w:val="20"/>
                <w:szCs w:val="20"/>
              </w:rPr>
              <w:t xml:space="preserve">The ADR as a living document (not just a one-time artifact) is a differentiator</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Q21: Describe your approach to estimating effort and managing risks on an S/4HANA project with heavy custom development.</w:t>
      </w:r>
    </w:p>
    <w:p>
      <w:pPr>
        <w:spacing w:before="120" w:after="60"/>
      </w:pPr>
      <w:r>
        <w:rPr>
          <w:rFonts w:ascii="Arial" w:cs="Arial" w:eastAsia="Arial" w:hAnsi="Arial"/>
          <w:b/>
          <w:bCs/>
          <w:sz w:val="20"/>
          <w:szCs w:val="20"/>
        </w:rPr>
        <w:t xml:space="preserve">ESTIMATION APPROACH — Three-Point Method:</w:t>
      </w:r>
    </w:p>
    <w:p>
      <w:pPr>
        <w:pStyle w:val="ListParagraph"/>
        <w:numPr>
          <w:ilvl w:val="0"/>
          <w:numId w:val="2"/>
        </w:numPr>
        <w:spacing w:before="40" w:after="40"/>
      </w:pPr>
      <w:r>
        <w:rPr>
          <w:rFonts w:ascii="Arial" w:cs="Arial" w:eastAsia="Arial" w:hAnsi="Arial"/>
          <w:sz w:val="20"/>
          <w:szCs w:val="20"/>
        </w:rPr>
        <w:t xml:space="preserve">For each custom object: Optimistic (O), Most Likely (M), Pessimistic (P) estimates using PERT formula: (O + 4M + P) / 6</w:t>
      </w:r>
    </w:p>
    <w:p>
      <w:pPr>
        <w:pStyle w:val="ListParagraph"/>
        <w:numPr>
          <w:ilvl w:val="0"/>
          <w:numId w:val="2"/>
        </w:numPr>
        <w:spacing w:before="40" w:after="40"/>
      </w:pPr>
      <w:r>
        <w:rPr>
          <w:rFonts w:ascii="Arial" w:cs="Arial" w:eastAsia="Arial" w:hAnsi="Arial"/>
          <w:sz w:val="20"/>
          <w:szCs w:val="20"/>
        </w:rPr>
        <w:t xml:space="preserve">Estimates broken into: Analysis, Design, Development, Unit Test, Integration Test, Documentation</w:t>
      </w:r>
    </w:p>
    <w:p>
      <w:pPr>
        <w:pStyle w:val="ListParagraph"/>
        <w:numPr>
          <w:ilvl w:val="0"/>
          <w:numId w:val="2"/>
        </w:numPr>
        <w:spacing w:before="40" w:after="40"/>
      </w:pPr>
      <w:r>
        <w:rPr>
          <w:rFonts w:ascii="Arial" w:cs="Arial" w:eastAsia="Arial" w:hAnsi="Arial"/>
          <w:sz w:val="20"/>
          <w:szCs w:val="20"/>
        </w:rPr>
        <w:t xml:space="preserve">Used historical velocity data from prior projects (Amgen/JCI) as baselines: RAP BO average = 5 days, CDS View stack = 2 days, iFlow = 3 days</w:t>
      </w:r>
    </w:p>
    <w:p>
      <w:pPr>
        <w:pStyle w:val="ListParagraph"/>
        <w:numPr>
          <w:ilvl w:val="0"/>
          <w:numId w:val="2"/>
        </w:numPr>
        <w:spacing w:before="40" w:after="40"/>
      </w:pPr>
      <w:r>
        <w:rPr>
          <w:rFonts w:ascii="Arial" w:cs="Arial" w:eastAsia="Arial" w:hAnsi="Arial"/>
          <w:sz w:val="20"/>
          <w:szCs w:val="20"/>
        </w:rPr>
        <w:t xml:space="preserve">Applied complexity multipliers: new domain (1.3x), regulatory requirement (1.5x), third-party integration (1.4x)</w:t>
      </w:r>
    </w:p>
    <w:p>
      <w:pPr>
        <w:pStyle w:val="ListParagraph"/>
        <w:numPr>
          <w:ilvl w:val="0"/>
          <w:numId w:val="2"/>
        </w:numPr>
        <w:spacing w:before="40" w:after="40"/>
      </w:pPr>
      <w:r>
        <w:rPr>
          <w:rFonts w:ascii="Arial" w:cs="Arial" w:eastAsia="Arial" w:hAnsi="Arial"/>
          <w:sz w:val="20"/>
          <w:szCs w:val="20"/>
        </w:rPr>
        <w:t xml:space="preserve">Maintained a running estimate tracker visible to PM and steering committee</w:t>
      </w:r>
    </w:p>
    <w:p>
      <w:pPr>
        <w:spacing w:before="120" w:after="60"/>
      </w:pPr>
      <w:r>
        <w:rPr>
          <w:rFonts w:ascii="Arial" w:cs="Arial" w:eastAsia="Arial" w:hAnsi="Arial"/>
          <w:b/>
          <w:bCs/>
          <w:sz w:val="20"/>
          <w:szCs w:val="20"/>
        </w:rPr>
        <w:t xml:space="preserve">RISK MANAGEMENT FRAMEWORK:</w:t>
      </w:r>
    </w:p>
    <w:p>
      <w:pPr>
        <w:pStyle w:val="ListParagraph"/>
        <w:numPr>
          <w:ilvl w:val="0"/>
          <w:numId w:val="2"/>
        </w:numPr>
        <w:spacing w:before="40" w:after="40"/>
      </w:pPr>
      <w:r>
        <w:rPr>
          <w:rFonts w:ascii="Arial" w:cs="Arial" w:eastAsia="Arial" w:hAnsi="Arial"/>
          <w:sz w:val="20"/>
          <w:szCs w:val="20"/>
        </w:rPr>
        <w:t xml:space="preserve">Risk categories: Scope, Technical Complexity, Integration, Resource, Vendor/SAP dependency, Regulatory</w:t>
      </w:r>
    </w:p>
    <w:p>
      <w:pPr>
        <w:pStyle w:val="ListParagraph"/>
        <w:numPr>
          <w:ilvl w:val="0"/>
          <w:numId w:val="2"/>
        </w:numPr>
        <w:spacing w:before="40" w:after="40"/>
      </w:pPr>
      <w:r>
        <w:rPr>
          <w:rFonts w:ascii="Arial" w:cs="Arial" w:eastAsia="Arial" w:hAnsi="Arial"/>
          <w:sz w:val="20"/>
          <w:szCs w:val="20"/>
        </w:rPr>
        <w:t xml:space="preserve">Used a 5x5 probability/impact matrix with RAG status</w:t>
      </w:r>
    </w:p>
    <w:p>
      <w:pPr>
        <w:pStyle w:val="ListParagraph"/>
        <w:numPr>
          <w:ilvl w:val="0"/>
          <w:numId w:val="2"/>
        </w:numPr>
        <w:spacing w:before="40" w:after="40"/>
      </w:pPr>
      <w:r>
        <w:rPr>
          <w:rFonts w:ascii="Arial" w:cs="Arial" w:eastAsia="Arial" w:hAnsi="Arial"/>
          <w:sz w:val="20"/>
          <w:szCs w:val="20"/>
        </w:rPr>
        <w:t xml:space="preserve">Top architectural risks tracked in the ARB weekly: API availability (SAP not having a released API), data migration volume variance, and third-party vendor SLA</w:t>
      </w:r>
    </w:p>
    <w:p>
      <w:pPr>
        <w:pStyle w:val="ListParagraph"/>
        <w:numPr>
          <w:ilvl w:val="0"/>
          <w:numId w:val="2"/>
        </w:numPr>
        <w:spacing w:before="40" w:after="40"/>
      </w:pPr>
      <w:r>
        <w:rPr>
          <w:rFonts w:ascii="Arial" w:cs="Arial" w:eastAsia="Arial" w:hAnsi="Arial"/>
          <w:sz w:val="20"/>
          <w:szCs w:val="20"/>
        </w:rPr>
        <w:t xml:space="preserve">Risk response types: Avoid (remove from scope), Mitigate (add buffer/spike), Transfer (vendor SLA), Accept (document and monitor)</w:t>
      </w:r>
    </w:p>
    <w:p>
      <w:pPr>
        <w:spacing w:before="60" w:after="60"/>
      </w:pPr>
      <w:r>
        <w:rPr>
          <w:rFonts w:ascii="Arial" w:cs="Arial" w:eastAsia="Arial" w:hAnsi="Arial"/>
          <w:b w:val="false"/>
          <w:bCs w:val="false"/>
          <w:sz w:val="20"/>
          <w:szCs w:val="20"/>
        </w:rPr>
        <w:t xml:space="preserve">REAL EXAMPLE: At Amgen, identified early that 7 custom objects had no released API equivalent. Risk: Clean Core compliance gap. Mitigation: Allocated a 4-week API investigation spike and filed SAP influence requests. All 7 were resolved before development phase.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PERT formula with three-point estimates signals PM rigor — rare for pure architects</w:t>
            </w:r>
          </w:p>
          <w:p>
            <w:pPr>
              <w:pStyle w:val="ListParagraph"/>
              <w:numPr>
                <w:ilvl w:val="0"/>
                <w:numId w:val="2"/>
              </w:numPr>
              <w:spacing w:before="40" w:after="40"/>
            </w:pPr>
            <w:r>
              <w:rPr>
                <w:rFonts w:ascii="Arial" w:cs="Arial" w:eastAsia="Arial" w:hAnsi="Arial"/>
                <w:sz w:val="20"/>
                <w:szCs w:val="20"/>
              </w:rPr>
              <w:t xml:space="preserve">Historical velocity baselines (RAP BO = 5 days, etc.) are highly credible</w:t>
            </w:r>
          </w:p>
          <w:p>
            <w:pPr>
              <w:pStyle w:val="ListParagraph"/>
              <w:numPr>
                <w:ilvl w:val="0"/>
                <w:numId w:val="2"/>
              </w:numPr>
              <w:spacing w:before="40" w:after="40"/>
            </w:pPr>
            <w:r>
              <w:rPr>
                <w:rFonts w:ascii="Arial" w:cs="Arial" w:eastAsia="Arial" w:hAnsi="Arial"/>
                <w:sz w:val="20"/>
                <w:szCs w:val="20"/>
              </w:rPr>
              <w:t xml:space="preserve">The 7-object risk example is concrete and shows proactive risk management</w:t>
            </w:r>
          </w:p>
        </w:tc>
      </w:tr>
    </w:tbl>
    <w:p>
      <w:pPr>
        <w:spacing w:before="0" w:after="160"/>
      </w:pPr>
      <w:r>
        <w:t xml:space="preserve"/>
      </w:r>
    </w:p>
    <w:p>
      <w:pPr>
        <w:pBdr>
          <w:left w:val="single" w:color="2E74B5" w:sz="18" w:space="6"/>
        </w:pBdr>
        <w:spacing w:before="240" w:after="100"/>
        <w:ind w:left="200"/>
      </w:pPr>
      <w:r>
        <w:rPr>
          <w:rFonts w:ascii="Arial" w:cs="Arial" w:eastAsia="Arial" w:hAnsi="Arial"/>
          <w:b/>
          <w:bCs/>
          <w:color w:val="1F3864"/>
          <w:sz w:val="22"/>
          <w:szCs w:val="22"/>
        </w:rPr>
        <w:t xml:space="preserve">Q22: How do you ensure extensibility and upgrade stability when building BTP extensions for S/4HANA Cloud (public edition)?</w:t>
      </w:r>
    </w:p>
    <w:p>
      <w:pPr>
        <w:spacing w:before="60" w:after="60"/>
      </w:pPr>
      <w:r>
        <w:rPr>
          <w:rFonts w:ascii="Arial" w:cs="Arial" w:eastAsia="Arial" w:hAnsi="Arial"/>
          <w:b w:val="false"/>
          <w:bCs w:val="false"/>
          <w:sz w:val="20"/>
          <w:szCs w:val="20"/>
        </w:rPr>
        <w:t xml:space="preserve">S/4HANA Cloud Public Edition (PCE) has strict rules — standard code is managed by SAP, and customers can only extend via released extension points. Upgrade stability is non-negotiable.</w:t>
      </w:r>
    </w:p>
    <w:p>
      <w:pPr>
        <w:spacing w:before="120" w:after="60"/>
      </w:pPr>
      <w:r>
        <w:rPr>
          <w:rFonts w:ascii="Arial" w:cs="Arial" w:eastAsia="Arial" w:hAnsi="Arial"/>
          <w:b/>
          <w:bCs/>
          <w:sz w:val="20"/>
          <w:szCs w:val="20"/>
        </w:rPr>
        <w:t xml:space="preserve">KEY PRINCIPLES I ENFORCE:</w:t>
      </w:r>
    </w:p>
    <w:p>
      <w:pPr>
        <w:spacing w:before="80" w:after="40"/>
        <w:ind w:left="240"/>
      </w:pPr>
      <w:r>
        <w:rPr>
          <w:rFonts w:ascii="Arial" w:cs="Arial" w:eastAsia="Arial" w:hAnsi="Arial"/>
          <w:b/>
          <w:bCs/>
          <w:color w:val="2E74B5"/>
          <w:sz w:val="20"/>
          <w:szCs w:val="20"/>
        </w:rPr>
        <w:t xml:space="preserve">1. RELEASED APIs ONLY: All In-App extensions use only C1-released ABAP APIs and CDS Views. I run ATC Cloud Readiness check in the CI/CD pipeline — any non-released API usage fails the build automatically.</w:t>
      </w:r>
    </w:p>
    <w:p>
      <w:pPr>
        <w:spacing w:before="80" w:after="40"/>
        <w:ind w:left="240"/>
      </w:pPr>
      <w:r>
        <w:rPr>
          <w:rFonts w:ascii="Arial" w:cs="Arial" w:eastAsia="Arial" w:hAnsi="Arial"/>
          <w:b/>
          <w:bCs/>
          <w:color w:val="2E74B5"/>
          <w:sz w:val="20"/>
          <w:szCs w:val="20"/>
        </w:rPr>
        <w:t xml:space="preserve">2. SIDE-BY-SIDE FOR COMPLEX LOGIC: Complex business logic that would require modifying SAP standard objects is always moved to BTP Side-by-Side (CAP/RAP external scenario). This completely insulates it from S/4HANA upgrades.</w:t>
      </w:r>
    </w:p>
    <w:p>
      <w:pPr>
        <w:spacing w:before="80" w:after="40"/>
        <w:ind w:left="240"/>
      </w:pPr>
      <w:r>
        <w:rPr>
          <w:rFonts w:ascii="Arial" w:cs="Arial" w:eastAsia="Arial" w:hAnsi="Arial"/>
          <w:b/>
          <w:bCs/>
          <w:color w:val="2E74B5"/>
          <w:sz w:val="20"/>
          <w:szCs w:val="20"/>
        </w:rPr>
        <w:t xml:space="preserve">3. STABLE API CONTRACTS: BTP extensions communicate with S/4HANA exclusively via OData V4 or published IDoc/event interfaces — never via RFC or BAPI (which are not guaranteed stable in PCE).</w:t>
      </w:r>
    </w:p>
    <w:p>
      <w:pPr>
        <w:spacing w:before="80" w:after="40"/>
        <w:ind w:left="240"/>
      </w:pPr>
      <w:r>
        <w:rPr>
          <w:rFonts w:ascii="Arial" w:cs="Arial" w:eastAsia="Arial" w:hAnsi="Arial"/>
          <w:b/>
          <w:bCs/>
          <w:color w:val="2E74B5"/>
          <w:sz w:val="20"/>
          <w:szCs w:val="20"/>
        </w:rPr>
        <w:t xml:space="preserve">4. EVENT-DRIVEN DECOUPLING: Using AEM as the event layer means S/4HANA upgrades don't break BTP consumers — event schema is versioned independently.</w:t>
      </w:r>
    </w:p>
    <w:p>
      <w:pPr>
        <w:spacing w:before="80" w:after="40"/>
        <w:ind w:left="240"/>
      </w:pPr>
      <w:r>
        <w:rPr>
          <w:rFonts w:ascii="Arial" w:cs="Arial" w:eastAsia="Arial" w:hAnsi="Arial"/>
          <w:b/>
          <w:bCs/>
          <w:color w:val="2E74B5"/>
          <w:sz w:val="20"/>
          <w:szCs w:val="20"/>
        </w:rPr>
        <w:t xml:space="preserve">5. REGRESSION TEST AUTOMATION: Automated regression suite (Robot Framework + OData test scripts) runs against every S/4HANA quarterly update in a non-production tenant before production upgrade.</w:t>
      </w:r>
    </w:p>
    <w:p>
      <w:pPr>
        <w:spacing w:before="80" w:after="40"/>
        <w:ind w:left="240"/>
      </w:pPr>
      <w:r>
        <w:rPr>
          <w:rFonts w:ascii="Arial" w:cs="Arial" w:eastAsia="Arial" w:hAnsi="Arial"/>
          <w:b/>
          <w:bCs/>
          <w:color w:val="2E74B5"/>
          <w:sz w:val="20"/>
          <w:szCs w:val="20"/>
        </w:rPr>
        <w:t xml:space="preserve">6. SAP UPGRADE COMPATIBILITY REVIEW: Pre-upgrade impact assessment using SAP Upgrade Dependency Analyzer to identify any API deprecations affecting custom extensions.</w:t>
      </w:r>
    </w:p>
    <w:p>
      <w:pPr>
        <w:spacing w:before="60" w:after="60"/>
      </w:pPr>
      <w:r>
        <w:rPr>
          <w:rFonts w:ascii="Arial" w:cs="Arial" w:eastAsia="Arial" w:hAnsi="Arial"/>
          <w:b w:val="false"/>
          <w:bCs w:val="false"/>
          <w:sz w:val="20"/>
          <w:szCs w:val="20"/>
        </w:rPr>
        <w:t xml:space="preserve">OUTCOME: Across 3 consecutive quarterly upgrades at Amgen PCE tenant, zero extension downtime or rework was required.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80"/>
              <w:bottom w:type="dxa" w:w="80"/>
              <w:right w:type="dxa" w:w="120"/>
            </w:tcMar>
          </w:tcPr>
          <w:p>
            <w:r>
              <w:rPr>
                <w:rFonts w:ascii="Arial" w:cs="Arial" w:eastAsia="Arial" w:hAnsi="Arial"/>
                <w:b/>
                <w:bCs/>
                <w:color w:val="FFFFFF"/>
                <w:sz w:val="22"/>
                <w:szCs w:val="22"/>
              </w:rPr>
              <w:t xml:space="preserve">Key Interview Tips for This Question</w:t>
            </w:r>
          </w:p>
        </w:tc>
      </w:tr>
      <w:tr>
        <w:tc>
          <w:tcPr>
            <w:tcW w:type="dxa" w:w="9360"/>
            <w:tcBorders>
              <w:top w:val="single" w:color="1E6B3C" w:sz="1"/>
              <w:left w:val="single" w:color="1E6B3C" w:sz="1"/>
              <w:bottom w:val="single" w:color="1E6B3C" w:sz="1"/>
              <w:right w:val="single" w:color="1E6B3C" w:sz="1"/>
            </w:tcBorders>
            <w:shd w:fill="E2EFDA" w:val="clear"/>
            <w:tcMar>
              <w:top w:type="dxa" w:w="100"/>
              <w:left w:type="dxa" w:w="240"/>
              <w:bottom w:type="dxa" w:w="100"/>
              <w:right w:type="dxa" w:w="120"/>
            </w:tcMar>
          </w:tcPr>
          <w:p>
            <w:pPr>
              <w:pStyle w:val="ListParagraph"/>
              <w:numPr>
                <w:ilvl w:val="0"/>
                <w:numId w:val="2"/>
              </w:numPr>
              <w:spacing w:before="40" w:after="40"/>
            </w:pPr>
            <w:r>
              <w:rPr>
                <w:rFonts w:ascii="Arial" w:cs="Arial" w:eastAsia="Arial" w:hAnsi="Arial"/>
                <w:sz w:val="20"/>
                <w:szCs w:val="20"/>
              </w:rPr>
              <w:t xml:space="preserve">ATC in CI/CD pipeline is the most important technical control — lead with it</w:t>
            </w:r>
          </w:p>
          <w:p>
            <w:pPr>
              <w:pStyle w:val="ListParagraph"/>
              <w:numPr>
                <w:ilvl w:val="0"/>
                <w:numId w:val="2"/>
              </w:numPr>
              <w:spacing w:before="40" w:after="40"/>
            </w:pPr>
            <w:r>
              <w:rPr>
                <w:rFonts w:ascii="Arial" w:cs="Arial" w:eastAsia="Arial" w:hAnsi="Arial"/>
                <w:sz w:val="20"/>
                <w:szCs w:val="20"/>
              </w:rPr>
              <w:t xml:space="preserve">The OData-only rule (no RFC/BAPI) for PCE is specific and correct — shows PCE expertise</w:t>
            </w:r>
          </w:p>
          <w:p>
            <w:pPr>
              <w:pStyle w:val="ListParagraph"/>
              <w:numPr>
                <w:ilvl w:val="0"/>
                <w:numId w:val="2"/>
              </w:numPr>
              <w:spacing w:before="40" w:after="40"/>
            </w:pPr>
            <w:r>
              <w:rPr>
                <w:rFonts w:ascii="Arial" w:cs="Arial" w:eastAsia="Arial" w:hAnsi="Arial"/>
                <w:sz w:val="20"/>
                <w:szCs w:val="20"/>
              </w:rPr>
              <w:t xml:space="preserve">Zero extension downtime across 3 upgrades is a compelling proof point to close the answer</w:t>
            </w:r>
          </w:p>
        </w:tc>
      </w:tr>
    </w:tbl>
    <w:p>
      <w:pPr>
        <w:spacing w:before="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120"/>
            </w:tcMar>
          </w:tcPr>
          <w:p>
            <w:r>
              <w:rPr>
                <w:rFonts w:ascii="Arial" w:cs="Arial" w:eastAsia="Arial" w:hAnsi="Arial"/>
                <w:b/>
                <w:bCs/>
                <w:color w:val="FFFFFF"/>
                <w:sz w:val="28"/>
                <w:szCs w:val="28"/>
              </w:rPr>
              <w:t xml:space="preserve">FINAL TIPS: Closing the Interview Strong</w:t>
            </w:r>
          </w:p>
        </w:tc>
      </w:tr>
    </w:tbl>
    <w:p>
      <w:pPr>
        <w:spacing w:before="0" w:after="120"/>
      </w:pPr>
      <w:r>
        <w:t xml:space="preserve"/>
      </w:r>
    </w:p>
    <w:p>
      <w:pPr>
        <w:spacing w:before="200" w:after="60"/>
      </w:pPr>
      <w:r>
        <w:rPr>
          <w:rFonts w:ascii="Arial" w:cs="Arial" w:eastAsia="Arial" w:hAnsi="Arial"/>
          <w:b/>
          <w:bCs/>
          <w:color w:val="1E6B3C"/>
          <w:sz w:val="22"/>
          <w:szCs w:val="22"/>
        </w:rPr>
        <w:t xml:space="preserve">✔  Always Lead with the Proof Point</w:t>
      </w:r>
    </w:p>
    <w:p>
      <w:pPr>
        <w:spacing w:before="40" w:after="120"/>
      </w:pPr>
      <w:r>
        <w:rPr>
          <w:rFonts w:ascii="Arial" w:cs="Arial" w:eastAsia="Arial" w:hAnsi="Arial"/>
          <w:b w:val="false"/>
          <w:bCs w:val="false"/>
          <w:color w:val="000000"/>
          <w:sz w:val="20"/>
          <w:szCs w:val="20"/>
        </w:rPr>
        <w:t xml:space="preserve">Open EVERY technical answer by grounding it in Amgen or JCI. 'In my experience delivering 168 Clean Core objects at Amgen...' immediately establishes credibility.</w:t>
      </w:r>
    </w:p>
    <w:p>
      <w:pPr>
        <w:spacing w:before="200" w:after="60"/>
      </w:pPr>
      <w:r>
        <w:rPr>
          <w:rFonts w:ascii="Arial" w:cs="Arial" w:eastAsia="Arial" w:hAnsi="Arial"/>
          <w:b/>
          <w:bCs/>
          <w:color w:val="1E6B3C"/>
          <w:sz w:val="22"/>
          <w:szCs w:val="22"/>
        </w:rPr>
        <w:t xml:space="preserve">✔  Position Yourself as Both Architect AND Leader</w:t>
      </w:r>
    </w:p>
    <w:p>
      <w:pPr>
        <w:spacing w:before="40" w:after="120"/>
      </w:pPr>
      <w:r>
        <w:rPr>
          <w:rFonts w:ascii="Arial" w:cs="Arial" w:eastAsia="Arial" w:hAnsi="Arial"/>
          <w:b w:val="false"/>
          <w:bCs w:val="false"/>
          <w:color w:val="000000"/>
          <w:sz w:val="20"/>
          <w:szCs w:val="20"/>
        </w:rPr>
        <w:t xml:space="preserve">For senior roles, every answer should show you both designed it AND led the team that built it. Avoid sounding like an individual contributor.</w:t>
      </w:r>
    </w:p>
    <w:p>
      <w:pPr>
        <w:spacing w:before="200" w:after="60"/>
      </w:pPr>
      <w:r>
        <w:rPr>
          <w:rFonts w:ascii="Arial" w:cs="Arial" w:eastAsia="Arial" w:hAnsi="Arial"/>
          <w:b/>
          <w:bCs/>
          <w:color w:val="1E6B3C"/>
          <w:sz w:val="22"/>
          <w:szCs w:val="22"/>
        </w:rPr>
        <w:t xml:space="preserve">✔  Use Numbers Obsessively</w:t>
      </w:r>
    </w:p>
    <w:p>
      <w:pPr>
        <w:spacing w:before="40" w:after="120"/>
      </w:pPr>
      <w:r>
        <w:rPr>
          <w:rFonts w:ascii="Arial" w:cs="Arial" w:eastAsia="Arial" w:hAnsi="Arial"/>
          <w:b w:val="false"/>
          <w:bCs w:val="false"/>
          <w:color w:val="000000"/>
          <w:sz w:val="20"/>
          <w:szCs w:val="20"/>
        </w:rPr>
        <w:t xml:space="preserve">Interviewers remember numbers. 168 objects. 15x speedup. 3 days to 4 hours. $X business value. Quantify wherever possible.</w:t>
      </w:r>
    </w:p>
    <w:p>
      <w:pPr>
        <w:spacing w:before="200" w:after="60"/>
      </w:pPr>
      <w:r>
        <w:rPr>
          <w:rFonts w:ascii="Arial" w:cs="Arial" w:eastAsia="Arial" w:hAnsi="Arial"/>
          <w:b/>
          <w:bCs/>
          <w:color w:val="1E6B3C"/>
          <w:sz w:val="22"/>
          <w:szCs w:val="22"/>
        </w:rPr>
        <w:t xml:space="preserve">✔  Show the 'Why' Behind Every Choice</w:t>
      </w:r>
    </w:p>
    <w:p>
      <w:pPr>
        <w:spacing w:before="40" w:after="120"/>
      </w:pPr>
      <w:r>
        <w:rPr>
          <w:rFonts w:ascii="Arial" w:cs="Arial" w:eastAsia="Arial" w:hAnsi="Arial"/>
          <w:b w:val="false"/>
          <w:bCs w:val="false"/>
          <w:color w:val="000000"/>
          <w:sz w:val="20"/>
          <w:szCs w:val="20"/>
        </w:rPr>
        <w:t xml:space="preserve">Don't just name the technology — explain the decision. 'I chose RAP over BOPF because...' demonstrates architectural judgment, not just SAP knowledge.</w:t>
      </w:r>
    </w:p>
    <w:p>
      <w:pPr>
        <w:spacing w:before="200" w:after="60"/>
      </w:pPr>
      <w:r>
        <w:rPr>
          <w:rFonts w:ascii="Arial" w:cs="Arial" w:eastAsia="Arial" w:hAnsi="Arial"/>
          <w:b/>
          <w:bCs/>
          <w:color w:val="1E6B3C"/>
          <w:sz w:val="22"/>
          <w:szCs w:val="22"/>
        </w:rPr>
        <w:t xml:space="preserve">✔  Acknowledge Tradeoffs</w:t>
      </w:r>
    </w:p>
    <w:p>
      <w:pPr>
        <w:spacing w:before="40" w:after="120"/>
      </w:pPr>
      <w:r>
        <w:rPr>
          <w:rFonts w:ascii="Arial" w:cs="Arial" w:eastAsia="Arial" w:hAnsi="Arial"/>
          <w:b w:val="false"/>
          <w:bCs w:val="false"/>
          <w:color w:val="000000"/>
          <w:sz w:val="20"/>
          <w:szCs w:val="20"/>
        </w:rPr>
        <w:t xml:space="preserve">The best architects show awareness of tradeoffs. 'We chose event-driven, which added complexity in error handling, but the resilience benefit outweighed that...' signals maturity.</w:t>
      </w:r>
    </w:p>
    <w:p>
      <w:pPr>
        <w:spacing w:before="200" w:after="60"/>
      </w:pPr>
      <w:r>
        <w:rPr>
          <w:rFonts w:ascii="Arial" w:cs="Arial" w:eastAsia="Arial" w:hAnsi="Arial"/>
          <w:b/>
          <w:bCs/>
          <w:color w:val="1E6B3C"/>
          <w:sz w:val="22"/>
          <w:szCs w:val="22"/>
        </w:rPr>
        <w:t xml:space="preserve">✔  Prepare 2-3 Closing Questions</w:t>
      </w:r>
    </w:p>
    <w:p>
      <w:pPr>
        <w:spacing w:before="40" w:after="120"/>
      </w:pPr>
      <w:r>
        <w:rPr>
          <w:rFonts w:ascii="Arial" w:cs="Arial" w:eastAsia="Arial" w:hAnsi="Arial"/>
          <w:b w:val="false"/>
          <w:bCs w:val="false"/>
          <w:color w:val="000000"/>
          <w:sz w:val="20"/>
          <w:szCs w:val="20"/>
        </w:rPr>
        <w:t xml:space="preserve">Ask about the team's current Clean Core maturity, BTP roadmap, and what successful delivery looks like in Year 1. Shows strategic interest, not just job hunting.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pPr>
    <w:r>
      <w:rPr>
        <w:rFonts w:ascii="Arial" w:cs="Arial" w:eastAsia="Arial" w:hAnsi="Arial"/>
        <w:color w:val="888888"/>
        <w:sz w:val="18"/>
        <w:szCs w:val="18"/>
      </w:rPr>
      <w:t xml:space="preserve">Ganesh | Senior SAP Solution Architect &amp; Manager | Capgemini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jc w:val="right"/>
    </w:pPr>
    <w:r>
      <w:rPr>
        <w:rFonts w:ascii="Arial" w:cs="Arial" w:eastAsia="Arial" w:hAnsi="Arial"/>
        <w:color w:val="888888"/>
        <w:sz w:val="18"/>
        <w:szCs w:val="18"/>
      </w:rPr>
      <w:t xml:space="preserve">SAP Architect Interview Preparation Guide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E74B5"/>
      </w:r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2026-03-31T01:04:10.689Z</dcterms:created>
  <dcterms:modified xsi:type="dcterms:W3CDTF">2026-03-31T01:04:10.690Z</dcterms:modified>
</cp:coreProperties>
</file>

<file path=docProps/custom.xml><?xml version="1.0" encoding="utf-8"?>
<Properties xmlns="http://schemas.openxmlformats.org/officeDocument/2006/custom-properties" xmlns:vt="http://schemas.openxmlformats.org/officeDocument/2006/docPropsVTypes"/>
</file>