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RFP: SAP S/4 HANA Implementation</w:t>
      </w:r>
    </w:p>
    <w:p>
      <w:pPr>
        <w:pStyle w:val="Heading2"/>
      </w:pPr>
      <w:r>
        <w:t>Executive Summary</w:t>
      </w:r>
    </w:p>
    <w:p>
      <w:r>
        <w:t>This proposal provides a fixed-price approach for the requested scope.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SAP S/4 HANA for Finance and Supply Chain</w:t>
      </w:r>
    </w:p>
    <w:p>
      <w:pPr>
        <w:pStyle w:val="ListBullet"/>
      </w:pPr>
      <w:r>
        <w:t>Migrate historical data from legacy ERP (10 years)</w:t>
      </w:r>
    </w:p>
    <w:p>
      <w:pPr>
        <w:pStyle w:val="ListBullet"/>
      </w:pPr>
      <w:r>
        <w:t>Integrate with MES and third-party logistics providers</w:t>
      </w:r>
    </w:p>
    <w:p>
      <w:pPr>
        <w:pStyle w:val="Heading2"/>
      </w:pPr>
      <w:r>
        <w:t>Staffing &amp; 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Days</w:t>
            </w:r>
          </w:p>
        </w:tc>
        <w:tc>
          <w:tcPr>
            <w:tcW w:type="dxa" w:w="2160"/>
          </w:tcPr>
          <w:p>
            <w:r>
              <w:t>Daily Rate (USD)</w:t>
            </w:r>
          </w:p>
        </w:tc>
        <w:tc>
          <w:tcPr>
            <w:tcW w:type="dxa" w:w="2160"/>
          </w:tcPr>
          <w:p>
            <w:r>
              <w:t>Price (USD)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900.00</w:t>
            </w:r>
          </w:p>
        </w:tc>
        <w:tc>
          <w:tcPr>
            <w:tcW w:type="dxa" w:w="2160"/>
          </w:tcPr>
          <w:p>
            <w:r>
              <w:t>2700.00</w:t>
            </w:r>
          </w:p>
        </w:tc>
      </w:tr>
      <w:tr>
        <w:tc>
          <w:tcPr>
            <w:tcW w:type="dxa" w:w="2160"/>
          </w:tcPr>
          <w:p>
            <w:r>
              <w:t>Solution Architect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830.00</w:t>
            </w:r>
          </w:p>
        </w:tc>
        <w:tc>
          <w:tcPr>
            <w:tcW w:type="dxa" w:w="2160"/>
          </w:tcPr>
          <w:p>
            <w:r>
              <w:t>2490.00</w:t>
            </w:r>
          </w:p>
        </w:tc>
      </w:tr>
      <w:tr>
        <w:tc>
          <w:tcPr>
            <w:tcW w:type="dxa" w:w="2160"/>
          </w:tcPr>
          <w:p>
            <w:r>
              <w:t>Functional Consultant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630.00</w:t>
            </w:r>
          </w:p>
        </w:tc>
        <w:tc>
          <w:tcPr>
            <w:tcW w:type="dxa" w:w="2160"/>
          </w:tcPr>
          <w:p>
            <w:r>
              <w:t>5670.00</w:t>
            </w:r>
          </w:p>
        </w:tc>
      </w:tr>
      <w:tr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450.00</w:t>
            </w:r>
          </w:p>
        </w:tc>
        <w:tc>
          <w:tcPr>
            <w:tcW w:type="dxa" w:w="2160"/>
          </w:tcPr>
          <w:p>
            <w:r>
              <w:t>18900.00</w:t>
            </w:r>
          </w:p>
        </w:tc>
      </w:tr>
      <w:tr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380.00</w:t>
            </w:r>
          </w:p>
        </w:tc>
        <w:tc>
          <w:tcPr>
            <w:tcW w:type="dxa" w:w="2160"/>
          </w:tcPr>
          <w:p>
            <w:r>
              <w:t>1520.00</w:t>
            </w:r>
          </w:p>
        </w:tc>
      </w:tr>
      <w:tr>
        <w:tc>
          <w:tcPr>
            <w:tcW w:type="dxa" w:w="2160"/>
          </w:tcPr>
          <w:p>
            <w:r>
              <w:t>Basis/Infra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590.00</w:t>
            </w:r>
          </w:p>
        </w:tc>
        <w:tc>
          <w:tcPr>
            <w:tcW w:type="dxa" w:w="2160"/>
          </w:tcPr>
          <w:p>
            <w:r>
              <w:t>590.00</w:t>
            </w:r>
          </w:p>
        </w:tc>
      </w:tr>
    </w:tbl>
    <w:p>
      <w:r>
        <w:t>Subtotal: $31870.00</w:t>
      </w:r>
    </w:p>
    <w:p>
      <w:r>
        <w:t>Contingency (20%): $6374.00</w:t>
      </w:r>
    </w:p>
    <w:p>
      <w:r>
        <w:t>Fixed Price (Total): $38244.00</w:t>
      </w:r>
    </w:p>
    <w:p>
      <w:r>
        <w:br w:type="page"/>
      </w:r>
    </w:p>
    <w:p>
      <w:pPr>
        <w:pStyle w:val="Heading2"/>
      </w:pPr>
      <w:r>
        <w:t>Detailed Statement of Work (SOW)</w:t>
      </w:r>
    </w:p>
    <w:p>
      <w:pPr>
        <w:pStyle w:val="Heading3"/>
      </w:pPr>
      <w:r>
        <w:t>SAP S/4 Implementation Template</w:t>
      </w:r>
    </w:p>
    <w:p>
      <w:pPr>
        <w:pStyle w:val="Heading3"/>
      </w:pPr>
      <w:r>
        <w:t>Executive Summary</w:t>
        <w:br/>
        <w:t>- Project purpose and value proposition</w:t>
        <w:br/>
        <w:t>- High-level scope and expected business outcomes</w:t>
      </w:r>
    </w:p>
    <w:p>
      <w:pPr>
        <w:pStyle w:val="Heading3"/>
      </w:pPr>
      <w:r>
        <w:t>Approach</w:t>
        <w:br/>
        <w:t>- Discovery &amp; Fit-Gap</w:t>
        <w:br/>
        <w:t>- Design &amp; Build</w:t>
        <w:br/>
        <w:t>- Data Migration</w:t>
        <w:br/>
        <w:t>- Testing &amp; Cutover</w:t>
        <w:br/>
        <w:t>- Hypercare &amp; Support</w:t>
      </w:r>
    </w:p>
    <w:p>
      <w:pPr>
        <w:pStyle w:val="Heading3"/>
      </w:pPr>
      <w:r>
        <w:t>Customer Scope Items</w:t>
        <w:br/>
        <w:t>- Implement SAP S/4 HANA for Finance and Supply Chain</w:t>
        <w:br/>
        <w:t>- Migrate historical data from legacy ERP (10 years)</w:t>
        <w:br/>
        <w:t>- Integrate with MES and third-party logistics providers</w:t>
      </w:r>
    </w:p>
    <w:p>
      <w:pPr>
        <w:pStyle w:val="Heading3"/>
      </w:pPr>
      <w:r>
        <w:t>Detailed SOW</w:t>
        <w:br/>
        <w:t>- Module-wise deliverables (Finance, MM, SD, PP, BW/BI)</w:t>
        <w:br/>
        <w:t>- Migration approach and tools</w:t>
        <w:br/>
        <w:t>- Data conversion and reconciliation</w:t>
        <w:br/>
        <w:t>- Integration with 3rd-party systems</w:t>
      </w:r>
    </w:p>
    <w:p>
      <w:pPr>
        <w:pStyle w:val="Heading3"/>
      </w:pPr>
      <w:r>
        <w:t>Module-level SOW</w:t>
        <w:br/>
        <w:t>- Finance: General Ledger, Accounts Payable, Accounts Receivable, Asset Accounting — deliverables: configuration, chart of accounts redesign, reconciliation scripts, validations, UAT scenarios.</w:t>
        <w:br/>
        <w:t>- MM (Materials Management): Inventory configuration, goods movement processes, valuation methods, integration points with warehouse and MES.</w:t>
        <w:br/>
        <w:t>- SD (Sales &amp; Distribution): Order-to-cash processes, pricing, billing, EDI/API integrations to logistics.</w:t>
        <w:br/>
        <w:t>- PP (Production Planning): Master data alignment, planning run templates, integration to MES for production orders.</w:t>
        <w:br/>
        <w:t>- BW/BI: Data extraction, reporting layers, executive dashboards and KPIs.</w:t>
      </w:r>
    </w:p>
    <w:p>
      <w:pPr>
        <w:pStyle w:val="Heading3"/>
      </w:pPr>
      <w:r>
        <w:t>Data Migration</w:t>
        <w:br/>
        <w:t>- Extract-transform-load plan, mapping matrix, reconciliation reports, archival strategy.</w:t>
      </w:r>
    </w:p>
    <w:p>
      <w:pPr>
        <w:pStyle w:val="Heading3"/>
      </w:pPr>
      <w:r>
        <w:t>Testing</w:t>
        <w:br/>
        <w:t>- Unit testing, integration testing, user acceptance testing (UAT) plan, cutover dress rehearsals.</w:t>
      </w:r>
    </w:p>
    <w:p>
      <w:pPr>
        <w:pStyle w:val="Heading3"/>
      </w:pPr>
      <w:r>
        <w:t>Cutover &amp; Hypercare</w:t>
        <w:br/>
        <w:t>- Cutover checklist, roles during go-live, 30-day hypercare with defined SLAs.</w:t>
      </w:r>
    </w:p>
    <w:p>
      <w:pPr>
        <w:pStyle w:val="Heading3"/>
      </w:pPr>
      <w:r>
        <w:t>Schedule &amp; Milestones</w:t>
        <w:br/>
        <w:t>- Week-by-week milestones and acceptance criteria</w:t>
      </w:r>
    </w:p>
    <w:p>
      <w:pPr>
        <w:pStyle w:val="Heading3"/>
      </w:pPr>
      <w:r>
        <w:t>Pricing &amp; Payment Schedule</w:t>
        <w:br/>
        <w:t>- Fixed-price milestones, acceptance-based payments</w:t>
      </w:r>
    </w:p>
    <w:p>
      <w:pPr>
        <w:pStyle w:val="Heading3"/>
      </w:pPr>
      <w:r>
        <w:t>Risk, Assumptions &amp; Dependencies</w:t>
      </w:r>
    </w:p>
    <w:p>
      <w:pPr>
        <w:pStyle w:val="Heading3"/>
      </w:pPr>
      <w:r>
        <w:t>Compliance &amp; Legal</w:t>
        <w:br/>
        <w:t>- Data residency, GDPR, ISO clauses</w:t>
      </w:r>
    </w:p>
    <w:p>
      <w:r>
        <w:t>Customer Scope Items:</w:t>
      </w:r>
    </w:p>
    <w:p>
      <w:pPr>
        <w:pStyle w:val="ListBullet"/>
      </w:pPr>
      <w:r>
        <w:t>Implement SAP S/4 HANA for Finance and Supply Chain</w:t>
      </w:r>
    </w:p>
    <w:p>
      <w:pPr>
        <w:pStyle w:val="ListBullet"/>
      </w:pPr>
      <w:r>
        <w:t>Migrate historical data from legacy ERP (10 years)</w:t>
      </w:r>
    </w:p>
    <w:p>
      <w:pPr>
        <w:pStyle w:val="ListBullet"/>
      </w:pPr>
      <w:r>
        <w:t>Integrate with MES and third-party logistics providers</w:t>
      </w:r>
    </w:p>
    <w:p>
      <w:r>
        <w:br w:type="page"/>
      </w:r>
    </w:p>
    <w:p>
      <w:pPr>
        <w:pStyle w:val="Heading2"/>
      </w:pPr>
      <w:r>
        <w:t>Compliance &amp; Legal Clauses</w:t>
      </w:r>
    </w:p>
    <w:p>
      <w:pPr>
        <w:pStyle w:val="Heading3"/>
      </w:pPr>
      <w:r>
        <w:t>GDPR</w:t>
      </w:r>
    </w:p>
    <w:p>
      <w:r>
        <w:t>## GDPR Clause</w:t>
      </w:r>
    </w:p>
    <w:p>
      <w:r>
        <w:t>The Service Provider will process personal data only on documented instructions of the Customer. The provider shall implement appropriate technical and organizational measures to ensure a level of security appropriate to the risk and shall assist the Customer in meeting its GDPR obligations, including data subject requests and breach notifications.</w:t>
      </w:r>
    </w:p>
    <w:p>
      <w:pPr>
        <w:pStyle w:val="Heading3"/>
      </w:pPr>
      <w:r>
        <w:t>ISO</w:t>
      </w:r>
    </w:p>
    <w:p>
      <w:r>
        <w:t>## ISO / Security Clause</w:t>
      </w:r>
    </w:p>
    <w:p>
      <w:r>
        <w:t>The Service Provider maintains information security controls aligned with ISO/IEC 27001. Provider will provide evidence of controls upon request and comply with reasonable audit requests subject to confidentiality.</w:t>
      </w:r>
    </w:p>
    <w:p>
      <w:pPr>
        <w:pStyle w:val="Heading3"/>
      </w:pPr>
      <w:r>
        <w:t>Data Residency</w:t>
      </w:r>
    </w:p>
    <w:p>
      <w:r>
        <w:t>## Data Residency Clause</w:t>
      </w:r>
    </w:p>
    <w:p>
      <w:r>
        <w:t>Customer data will be stored and processed in the specified geography as required. Any cross-border transfer will require explicit Customer approval and adherence to applicable laws.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