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26"/>
        </w:rPr>
        <w:t>CHAPTER 1</w:t>
      </w:r>
    </w:p>
    <w:p>
      <w:pPr>
        <w:spacing w:before="240" w:after="120" w:line="360" w:lineRule="auto"/>
        <w:jc w:val="center"/>
      </w:pPr>
      <w:r>
        <w:rPr>
          <w:rFonts w:ascii="Calibri" w:hAnsi="Calibri"/>
          <w:b/>
          <w:i w:val="0"/>
          <w:sz w:val="28"/>
        </w:rPr>
        <w:t>Introduction</w:t>
      </w:r>
    </w:p>
    <w:p>
      <w:pPr>
        <w:spacing w:before="240" w:after="120" w:line="360" w:lineRule="auto"/>
      </w:pPr>
      <w:r>
        <w:rPr>
          <w:rFonts w:ascii="Calibri" w:hAnsi="Calibri"/>
          <w:b/>
          <w:i w:val="0"/>
          <w:sz w:val="26"/>
        </w:rPr>
        <w:t>1.1 Background and Context</w:t>
      </w:r>
    </w:p>
    <w:p>
      <w:pPr>
        <w:spacing w:before="0" w:after="120" w:line="360" w:lineRule="auto"/>
        <w:jc w:val="both"/>
      </w:pPr>
      <w:r>
        <w:rPr>
          <w:rFonts w:ascii="Calibri" w:hAnsi="Calibri"/>
          <w:b w:val="0"/>
          <w:i w:val="0"/>
          <w:sz w:val="24"/>
        </w:rPr>
        <w:t>Network security threats have grown substantially in both volume and complexity over the past decade. What were once manual, targeted intrusion attempts have evolved into automated, multi-vector campaigns that can scan, identify vulnerabilities, and initiate exploitation in a matter of seconds. The MITRE ATT&amp;CK framework documents over 400 known adversary techniques currently deployed in the wild, and datasets like CICIDS-2017 and NSL-KDD reflect that traffic carrying embedded attack patterns is increasingly difficult to distinguish from legitimate network behavior through rule-based methods alone.</w:t>
      </w:r>
    </w:p>
    <w:p>
      <w:pPr>
        <w:spacing w:before="0" w:after="120" w:line="360" w:lineRule="auto"/>
        <w:jc w:val="both"/>
      </w:pPr>
      <w:r>
        <w:rPr>
          <w:rFonts w:ascii="Calibri" w:hAnsi="Calibri"/>
          <w:b w:val="0"/>
          <w:i w:val="0"/>
          <w:sz w:val="24"/>
        </w:rPr>
        <w:t>Traditional Intrusion Detection Systems, including widely deployed tools such as Snort and Suricata, operate on signature matching against a curated rule database. This approach is effective for known attack patterns but fundamentally reactive — the system can only flag what it has already been trained to recognize. Zero-day exploits, novel port-scanning strategies, and disguised exfiltration flows often escape detection entirely. More critically, even when an alert is generated, the response — blocking a source IP, isolating a compromised host, or redirecting suspicious traffic — still depends on manual administrator intervention in most production deployments.</w:t>
      </w:r>
    </w:p>
    <w:p>
      <w:pPr>
        <w:spacing w:before="0" w:after="120" w:line="360" w:lineRule="auto"/>
        <w:jc w:val="both"/>
      </w:pPr>
      <w:r>
        <w:rPr>
          <w:rFonts w:ascii="Calibri" w:hAnsi="Calibri"/>
          <w:b w:val="0"/>
          <w:i w:val="0"/>
          <w:sz w:val="24"/>
        </w:rPr>
        <w:t>This gap between alert generation and actual containment is well-documented. Studies from Ponemon Institute's 2023 Cost of a Data Breach Report indicate that the mean time to identify and contain a breach now stands at 277 days globally, with smaller organizations faring considerably worse. Even at the network perimeter, the delay between a threat triggering an IDS alert and a firewall rule being pushed manually is typically 15 to 30 minutes, representing a window during which lateral movement, data exfiltration, or persistence mechanisms can be established.</w:t>
      </w:r>
    </w:p>
    <w:p>
      <w:pPr>
        <w:spacing w:before="0" w:after="120" w:line="360" w:lineRule="auto"/>
        <w:jc w:val="both"/>
      </w:pPr>
      <w:r>
        <w:rPr>
          <w:rFonts w:ascii="Calibri" w:hAnsi="Calibri"/>
          <w:b w:val="0"/>
          <w:i w:val="0"/>
          <w:sz w:val="24"/>
        </w:rPr>
        <w:t>This project addresses that specific gap. NTTH — an abbreviation for No Time To Hack — implements a fully autonomous, closed-loop defense pipeline that eliminates the human intervention step between detection and enforcement. The system captures and analyzes network packets in real time, computes a hybrid risk score combining rule-based and statistical signals, and autonomously applies firewall rules and honeypot redirection within milliseconds of a threat crossing the configured threshold.</w:t>
      </w:r>
    </w:p>
    <w:p>
      <w:pPr>
        <w:spacing w:before="240" w:after="120" w:line="360" w:lineRule="auto"/>
      </w:pPr>
      <w:r>
        <w:rPr>
          <w:rFonts w:ascii="Calibri" w:hAnsi="Calibri"/>
          <w:b/>
          <w:i w:val="0"/>
          <w:sz w:val="26"/>
        </w:rPr>
        <w:t>1.2 Problem Statement</w:t>
      </w:r>
    </w:p>
    <w:p>
      <w:pPr>
        <w:spacing w:before="0" w:after="120" w:line="360" w:lineRule="auto"/>
        <w:jc w:val="both"/>
      </w:pPr>
      <w:r>
        <w:rPr>
          <w:rFonts w:ascii="Calibri" w:hAnsi="Calibri"/>
          <w:b w:val="0"/>
          <w:i w:val="0"/>
          <w:sz w:val="24"/>
        </w:rPr>
        <w:t>Existing network defense solutions for small and medium-scale network environments face a well-defined set of limitations. First, purely signature-based detection fails against novel attack variants, generating both false negatives for unknown threats and — when tuned aggressively — elevated false positives that fatigue security staff. Second, the response phase of most deployments remains manual: administrators receive alerts but must independently decide on and execute containment actions. Third, conventional honeypots operate as static, pre-deployed decoy services that do not adapt to the attacker's apparent target or communication port, reducing their effectiveness as intelligence-gathering tools.</w:t>
      </w:r>
    </w:p>
    <w:p>
      <w:pPr>
        <w:spacing w:before="0" w:after="120" w:line="360" w:lineRule="auto"/>
        <w:jc w:val="both"/>
      </w:pPr>
      <w:r>
        <w:rPr>
          <w:rFonts w:ascii="Calibri" w:hAnsi="Calibri"/>
          <w:b w:val="0"/>
          <w:i w:val="0"/>
          <w:sz w:val="24"/>
        </w:rPr>
        <w:t>There is also the question of cost and accessibility. Enterprise-grade SIEM platforms, SOAR systems, and advanced threat intelligence feeds are financially out of reach for university labs, small businesses, and research networks — the environments where experimental attacks are often first detected and where lightweight, effective solutions would have the most practical value.</w:t>
      </w:r>
    </w:p>
    <w:p>
      <w:pPr>
        <w:spacing w:before="120" w:after="40"/>
        <w:jc w:val="center"/>
        <w:pBdr>
          <w:top w:val="single" w:sz="6" w:space="4" w:color="1B3A5C"/>
          <w:left w:val="single" w:sz="6" w:space="4" w:color="1B3A5C"/>
          <w:bottom w:val="single" w:sz="6" w:space="4" w:color="1B3A5C"/>
          <w:right w:val="single" w:sz="6" w:space="4" w:color="1B3A5C"/>
        </w:pBdr>
      </w:pPr>
      <w:r>
        <w:rPr>
          <w:rFonts w:ascii="Calibri" w:hAnsi="Calibri"/>
          <w:i/>
          <w:color w:val="555555"/>
          <w:sz w:val="20"/>
        </w:rPr>
        <w:t>[Fig 1.1: Traditional vs NTTH Detection-to-Response Gap — Timeline comparison: Traditional IDS (alert → manual review → 15-30 min → action) vs NTTH (detect → auto-score → &lt;500ms → enforce)]</w:t>
      </w:r>
    </w:p>
    <w:p>
      <w:pPr>
        <w:spacing w:before="0" w:after="120" w:line="360" w:lineRule="auto"/>
        <w:jc w:val="both"/>
      </w:pPr>
      <w:r>
        <w:rPr>
          <w:rFonts w:ascii="Calibri" w:hAnsi="Calibri"/>
          <w:b w:val="0"/>
          <w:i w:val="0"/>
          <w:sz w:val="24"/>
        </w:rPr>
        <w:t>The problem this project targets is therefore three-dimensional: detection must be more adaptive than signature-only methods, response must be fully automated without removing the option for human override, and the entire system must run on commodity hardware at near-zero licensing cost.</w:t>
      </w:r>
    </w:p>
    <w:p>
      <w:pPr>
        <w:spacing w:before="240" w:after="120" w:line="360" w:lineRule="auto"/>
      </w:pPr>
      <w:r>
        <w:rPr>
          <w:rFonts w:ascii="Calibri" w:hAnsi="Calibri"/>
          <w:b/>
          <w:i w:val="0"/>
          <w:sz w:val="26"/>
        </w:rPr>
        <w:t>1.3 Motivation</w:t>
      </w:r>
    </w:p>
    <w:p>
      <w:pPr>
        <w:spacing w:before="0" w:after="120" w:line="360" w:lineRule="auto"/>
        <w:jc w:val="both"/>
      </w:pPr>
      <w:r>
        <w:rPr>
          <w:rFonts w:ascii="Calibri" w:hAnsi="Calibri"/>
          <w:b w:val="0"/>
          <w:i w:val="0"/>
          <w:sz w:val="24"/>
        </w:rPr>
        <w:t>The motivation for NTTH emerged from two sources. Academically, recent advances in anomaly detection using unsupervised learning — particularly Isolation Forest, which was shown by Liu et al. [2] to achieve strong performance on high-dimensional network traffic data with minimal labeling overhead — suggested that a lightweight, online-trainable anomaly detector could meaningfully complement signature-based detection without requiring a large labeled dataset. The combination of these two detection paradigms into a weighted risk score appeared underexplored in deployable open-source tools.</w:t>
      </w:r>
    </w:p>
    <w:p>
      <w:pPr>
        <w:spacing w:before="0" w:after="120" w:line="360" w:lineRule="auto"/>
        <w:jc w:val="both"/>
      </w:pPr>
      <w:r>
        <w:rPr>
          <w:rFonts w:ascii="Calibri" w:hAnsi="Calibri"/>
          <w:b w:val="0"/>
          <w:i w:val="0"/>
          <w:sz w:val="24"/>
        </w:rPr>
        <w:t>Practically, the motivation came from observing how long it takes even a competent administrator to respond to an IDS alert in a real network: locate the source, assess the severity, choose an appropriate action, and execute it. That workflow, however practiced, is measured in minutes, not seconds. Automating the response loop while preserving interpretability — every NTTH action is logged with its triggering risk score and the specific detector that fired — addresses a real operational need.</w:t>
      </w:r>
    </w:p>
    <w:p>
      <w:pPr>
        <w:spacing w:before="240" w:after="120" w:line="360" w:lineRule="auto"/>
      </w:pPr>
      <w:r>
        <w:rPr>
          <w:rFonts w:ascii="Calibri" w:hAnsi="Calibri"/>
          <w:b/>
          <w:i w:val="0"/>
          <w:sz w:val="26"/>
        </w:rPr>
        <w:t>1.4 Objectives</w:t>
      </w:r>
    </w:p>
    <w:p>
      <w:pPr>
        <w:spacing w:before="0" w:after="120" w:line="360" w:lineRule="auto"/>
        <w:jc w:val="both"/>
      </w:pPr>
      <w:r>
        <w:rPr>
          <w:rFonts w:ascii="Calibri" w:hAnsi="Calibri"/>
          <w:b w:val="0"/>
          <w:i w:val="0"/>
          <w:sz w:val="24"/>
        </w:rPr>
        <w:t>The primary objective of this project is to design, implement, and experimentally evaluate an autonomous network defense system that operates without human intervention in the detection-to-enforcement pipeline. This broad goal encompasses several specific technical objectives that guided the architecture and implementation decisions throughout the project.</w:t>
      </w:r>
    </w:p>
    <w:p>
      <w:pPr>
        <w:spacing w:before="0" w:after="120" w:line="360" w:lineRule="auto"/>
        <w:jc w:val="both"/>
      </w:pPr>
      <w:r>
        <w:rPr>
          <w:rFonts w:ascii="Calibri" w:hAnsi="Calibri"/>
          <w:b w:val="0"/>
          <w:i w:val="0"/>
          <w:sz w:val="24"/>
        </w:rPr>
        <w:t>The first objective is to build a real-time packet capture and feature extraction engine capable of processing traffic at line rate on commodity hardware. This involves using Scapy for packet sniffing and constructing a 10-dimensional feature vector per flow window that includes packet rate, byte count, entropy of destination ports, TCP flag distributions, and ICMP request frequency.</w:t>
      </w:r>
    </w:p>
    <w:p>
      <w:pPr>
        <w:spacing w:before="0" w:after="120" w:line="360" w:lineRule="auto"/>
        <w:jc w:val="both"/>
      </w:pPr>
      <w:r>
        <w:rPr>
          <w:rFonts w:ascii="Calibri" w:hAnsi="Calibri"/>
          <w:b w:val="0"/>
          <w:i w:val="0"/>
          <w:sz w:val="24"/>
        </w:rPr>
        <w:t>The second objective is to implement a hybrid risk scoring model that meaningfully combines the outputs of a signature-based IDS rule engine with a trained Isolation Forest anomaly detector, such that the composite score captures both known attack signatures and statistically anomalous traffic patterns. The specific weighted formula (Score = 0.6 × IDS_score + 0.4 × anomaly_score) was determined through empirical tuning on the CICIDS-2017 dataset subset described in Chapter 6.</w:t>
      </w:r>
    </w:p>
    <w:p>
      <w:pPr>
        <w:spacing w:before="0" w:after="120" w:line="360" w:lineRule="auto"/>
        <w:jc w:val="both"/>
      </w:pPr>
      <w:r>
        <w:rPr>
          <w:rFonts w:ascii="Calibri" w:hAnsi="Calibri"/>
          <w:b w:val="0"/>
          <w:i w:val="0"/>
          <w:sz w:val="24"/>
        </w:rPr>
        <w:t>The third objective is to implement autonomous firewall enforcement using Linux nftables, generating and applying kernel-level packet filter rules without administrator input. Related to this is the fourth objective: flow-aware honeypot redirection, where specific attacker-to-victim-port traffic flows are transparently redirected to a Cowrie SSH honeypot or a custom HTTP honeypot, rather than simply blocking the attacker and losing the opportunity to observe their behavior.</w:t>
      </w:r>
    </w:p>
    <w:p>
      <w:pPr>
        <w:spacing w:before="0" w:after="120" w:line="360" w:lineRule="auto"/>
        <w:jc w:val="both"/>
      </w:pPr>
      <w:r>
        <w:rPr>
          <w:rFonts w:ascii="Calibri" w:hAnsi="Calibri"/>
          <w:b w:val="0"/>
          <w:i w:val="0"/>
          <w:sz w:val="24"/>
        </w:rPr>
        <w:t>The fifth objective is to build a real-time monitoring dashboard in Flutter, providing live visibility into active threats, applied firewall rules, ongoing honeypot sessions, and network topology — accessible on both web browser and Android without requiring separate applications or login credentials per platform.</w:t>
      </w:r>
    </w:p>
    <w:p>
      <w:pPr>
        <w:spacing w:before="0" w:after="120" w:line="360" w:lineRule="auto"/>
        <w:jc w:val="both"/>
      </w:pPr>
      <w:r>
        <w:rPr>
          <w:rFonts w:ascii="Calibri" w:hAnsi="Calibri"/>
          <w:b w:val="0"/>
          <w:i w:val="0"/>
          <w:sz w:val="24"/>
        </w:rPr>
        <w:t>Finally, the sixth objective is to validate all of the above through a controlled attack simulation using Kali Linux as an attacker node, executing a defined set of attack types including port scanning, brute-force SSH, ARP spoofing, ICMP flood, and SYN flood, and measuring detection accuracy, false positive rate, and response time against the same traffic streams passed through Snort and Suricata for comparison.</w:t>
      </w:r>
    </w:p>
    <w:p>
      <w:pPr>
        <w:spacing w:before="240" w:after="120" w:line="360" w:lineRule="auto"/>
      </w:pPr>
      <w:r>
        <w:rPr>
          <w:rFonts w:ascii="Calibri" w:hAnsi="Calibri"/>
          <w:b/>
          <w:i w:val="0"/>
          <w:sz w:val="26"/>
        </w:rPr>
        <w:t>1.5 Scope and Limitations</w:t>
      </w:r>
    </w:p>
    <w:p>
      <w:pPr>
        <w:spacing w:before="0" w:after="120" w:line="360" w:lineRule="auto"/>
        <w:jc w:val="both"/>
      </w:pPr>
      <w:r>
        <w:rPr>
          <w:rFonts w:ascii="Calibri" w:hAnsi="Calibri"/>
          <w:b w:val="0"/>
          <w:i w:val="0"/>
          <w:sz w:val="24"/>
        </w:rPr>
        <w:t>NTTH is scoped for deployment in single-gateway LAN environments. The packet capture engine operates on a single network interface and does not implement distributed sensor federation across multiple network segments. The system does not perform deep packet inspection for encrypted TLS traffic and is not designed as a replacement for production-grade perimeter firewalls. Its value lies specifically in the autonomous, sub-second detection-to-response pipeline for unencrypted traffic on a monitored segment.</w:t>
      </w:r>
    </w:p>
    <w:p>
      <w:pPr>
        <w:spacing w:before="240" w:after="120" w:line="360" w:lineRule="auto"/>
      </w:pPr>
      <w:r>
        <w:rPr>
          <w:rFonts w:ascii="Calibri" w:hAnsi="Calibri"/>
          <w:b/>
          <w:i w:val="0"/>
          <w:sz w:val="26"/>
        </w:rPr>
        <w:t>1.6 Organization of the Report</w:t>
      </w:r>
    </w:p>
    <w:p>
      <w:pPr>
        <w:spacing w:before="0" w:after="120" w:line="360" w:lineRule="auto"/>
        <w:jc w:val="both"/>
      </w:pPr>
      <w:r>
        <w:rPr>
          <w:rFonts w:ascii="Calibri" w:hAnsi="Calibri"/>
          <w:b w:val="0"/>
          <w:i w:val="0"/>
          <w:sz w:val="24"/>
        </w:rPr>
        <w:t>The remainder of this report is organized as follows. Chapter 2 surveys the existing literature on intrusion detection systems, anomaly detection, honeypot technologies, and autonomous defense architectures, identifying specific gaps that this project addresses. Chapter 3 presents the system design and architectural decisions in detail, including the agent-inspired pipeline, the event bus design, the hybrid risk scoring formula, and the database schema.</w:t>
      </w:r>
    </w:p>
    <w:p>
      <w:pPr>
        <w:spacing w:before="0" w:after="120" w:line="360" w:lineRule="auto"/>
        <w:jc w:val="both"/>
      </w:pPr>
      <w:r>
        <w:rPr>
          <w:rFonts w:ascii="Calibri" w:hAnsi="Calibri"/>
          <w:b w:val="0"/>
          <w:i w:val="0"/>
          <w:sz w:val="24"/>
        </w:rPr>
        <w:t>Chapter 4 describes the full implementation — the technology stack, each backend service, the packet capture engine, the anomaly detector training process, the firewall integration, the Flutter dashboard, and the Docker deployment configuration. Chapter 5 covers testing and system demonstration, including annotated screenshots of the dashboard under live attack conditions and the results of the API endpoint verification suite. Chapter 6 presents experimental results and comparative analysis against Snort and Suricata. Chapter 7 concludes the report with a discussion of the project's contributions, current limitations, and directions for future development.</w:t>
      </w:r>
    </w:p>
    <w:p>
      <w:r>
        <w:br w:type="page"/>
      </w:r>
    </w:p>
    <w:p>
      <w:pPr>
        <w:jc w:val="center"/>
      </w:pPr>
      <w:r>
        <w:rPr>
          <w:rFonts w:ascii="Calibri" w:hAnsi="Calibri"/>
          <w:b/>
          <w:i w:val="0"/>
          <w:color w:val="1B3A5C"/>
          <w:sz w:val="26"/>
        </w:rPr>
        <w:t>CHAPTER 2</w:t>
      </w:r>
    </w:p>
    <w:p>
      <w:pPr>
        <w:spacing w:before="240" w:after="120" w:line="360" w:lineRule="auto"/>
        <w:jc w:val="center"/>
      </w:pPr>
      <w:r>
        <w:rPr>
          <w:rFonts w:ascii="Calibri" w:hAnsi="Calibri"/>
          <w:b/>
          <w:i w:val="0"/>
          <w:sz w:val="28"/>
        </w:rPr>
        <w:t>Literature Review</w:t>
      </w:r>
    </w:p>
    <w:p>
      <w:pPr>
        <w:spacing w:before="240" w:after="120" w:line="360" w:lineRule="auto"/>
      </w:pPr>
      <w:r>
        <w:rPr>
          <w:rFonts w:ascii="Calibri" w:hAnsi="Calibri"/>
          <w:b/>
          <w:i w:val="0"/>
          <w:sz w:val="26"/>
        </w:rPr>
        <w:t>2.1 Signature-Based Intrusion Detection Systems</w:t>
      </w:r>
    </w:p>
    <w:p>
      <w:pPr>
        <w:spacing w:before="0" w:after="120" w:line="360" w:lineRule="auto"/>
        <w:jc w:val="both"/>
      </w:pPr>
      <w:r>
        <w:rPr>
          <w:rFonts w:ascii="Calibri" w:hAnsi="Calibri"/>
          <w:b w:val="0"/>
          <w:i w:val="0"/>
          <w:sz w:val="24"/>
        </w:rPr>
        <w:t>Signature-based intrusion detection is the oldest and most widely deployed approach to network threat identification. Tools in this category — most prominently Snort [1] and Suricata [2] — maintain a database of known attack patterns, called rules or signatures, and flag traffic that matches any of these patterns. Snort's rule language, which has become an informal standard in the field, allows specifying content patterns, protocol behavior, and packet header conditions with considerable granularity.</w:t>
      </w:r>
    </w:p>
    <w:p>
      <w:pPr>
        <w:spacing w:before="0" w:after="120" w:line="360" w:lineRule="auto"/>
        <w:jc w:val="both"/>
      </w:pPr>
      <w:r>
        <w:rPr>
          <w:rFonts w:ascii="Calibri" w:hAnsi="Calibri"/>
          <w:b w:val="0"/>
          <w:i w:val="0"/>
          <w:sz w:val="24"/>
        </w:rPr>
        <w:t>The primary strength of signature-based detection is its precision for known attacks: a correctly written rule for CVE-2021-44228 (Log4Shell) will identify exploitation attempts with near-perfect recall. The fundamental limitation, however, is that the approach cannot detect what it has not been taught. Roesch [1], who first described Snort in 1999, noted this limitation explicitly, and subsequent decades of deployment have confirmed that signature maintenance is an ongoing operational burden — the Emerging Threats ruleset alone ships over 40,000 rules and requires continuous updates to remain effective.</w:t>
      </w:r>
    </w:p>
    <w:p>
      <w:pPr>
        <w:spacing w:before="0" w:after="120" w:line="360" w:lineRule="auto"/>
        <w:jc w:val="both"/>
      </w:pPr>
      <w:r>
        <w:rPr>
          <w:rFonts w:ascii="Calibri" w:hAnsi="Calibri"/>
          <w:b w:val="0"/>
          <w:i w:val="0"/>
          <w:sz w:val="24"/>
        </w:rPr>
        <w:t>Albin and Rowe [3] conducted a comparative evaluation of Snort and Suricata on identical traffic captures and found that Suricata's multi-threaded architecture yielded higher throughput on modern multi-core hardware, but that both systems had comparable detection rates on the test set. The study also noted that both generated substantial alert volumes on production traffic, with false positive rates reaching 12–18% without aggressive threshold tuning. This observation directly informs the design choice in NTTH to treat IDS rule output as one weighted component of a composite score rather than the sole basis for enforcement decisions.</w:t>
      </w:r>
    </w:p>
    <w:p>
      <w:pPr>
        <w:spacing w:before="0" w:after="120" w:line="360" w:lineRule="auto"/>
        <w:jc w:val="both"/>
      </w:pPr>
      <w:r>
        <w:rPr>
          <w:rFonts w:ascii="Calibri" w:hAnsi="Calibri"/>
          <w:b w:val="0"/>
          <w:i w:val="0"/>
          <w:sz w:val="24"/>
        </w:rPr>
        <w:t>More recent work by Sharafaldin et al. [4], who developed the CICIDS-2017 dataset, provides a rigorous evaluation framework for IDS systems. Their analysis showed that Snort detected between 70% and 85% of attack flows across the dataset's seven attack categories, with significant variance depending on attack type. SYN floods and port scans were reliably detected; slow-rate attacks and encrypted command-and-control channels were not. This dataset serves as the primary benchmark for the NTTH experimental evaluation in Chapter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IDS Tool</w:t>
            </w:r>
          </w:p>
        </w:tc>
        <w:tc>
          <w:tcPr>
            <w:tcW w:type="dxa" w:w="2340"/>
            <w:shd w:val="clear" w:color="auto" w:fill="1B3A5C"/>
          </w:tcPr>
          <w:p>
            <w:pPr>
              <w:jc w:val="left"/>
            </w:pPr>
            <w:r>
              <w:rPr>
                <w:rFonts w:ascii="Calibri" w:hAnsi="Calibri"/>
                <w:b/>
                <w:color w:val="FFFFFF"/>
                <w:sz w:val="24"/>
              </w:rPr>
              <w:t>Detection Method</w:t>
            </w:r>
          </w:p>
        </w:tc>
        <w:tc>
          <w:tcPr>
            <w:tcW w:type="dxa" w:w="2340"/>
            <w:shd w:val="clear" w:color="auto" w:fill="1B3A5C"/>
          </w:tcPr>
          <w:p>
            <w:pPr>
              <w:jc w:val="left"/>
            </w:pPr>
            <w:r>
              <w:rPr>
                <w:rFonts w:ascii="Calibri" w:hAnsi="Calibri"/>
                <w:b/>
                <w:color w:val="FFFFFF"/>
                <w:sz w:val="24"/>
              </w:rPr>
              <w:t>Response Capability</w:t>
            </w:r>
          </w:p>
        </w:tc>
        <w:tc>
          <w:tcPr>
            <w:tcW w:type="dxa" w:w="2340"/>
            <w:shd w:val="clear" w:color="auto" w:fill="1B3A5C"/>
          </w:tcPr>
          <w:p>
            <w:pPr>
              <w:jc w:val="left"/>
            </w:pPr>
            <w:r>
              <w:rPr>
                <w:rFonts w:ascii="Calibri" w:hAnsi="Calibri"/>
                <w:b/>
                <w:color w:val="FFFFFF"/>
                <w:sz w:val="24"/>
              </w:rPr>
              <w:t>Known Limitation</w:t>
            </w:r>
          </w:p>
        </w:tc>
      </w:tr>
      <w:tr>
        <w:tc>
          <w:tcPr>
            <w:tcW w:type="dxa" w:w="2340"/>
            <w:shd w:val="clear" w:color="auto" w:fill="F0F4F8"/>
          </w:tcPr>
          <w:p>
            <w:r>
              <w:rPr>
                <w:rFonts w:ascii="Calibri" w:hAnsi="Calibri"/>
                <w:sz w:val="24"/>
              </w:rPr>
              <w:t>Snort 3.x</w:t>
            </w:r>
          </w:p>
        </w:tc>
        <w:tc>
          <w:tcPr>
            <w:tcW w:type="dxa" w:w="2340"/>
            <w:shd w:val="clear" w:color="auto" w:fill="F0F4F8"/>
          </w:tcPr>
          <w:p>
            <w:r>
              <w:rPr>
                <w:rFonts w:ascii="Calibri" w:hAnsi="Calibri"/>
                <w:sz w:val="24"/>
              </w:rPr>
              <w:t>Signature / Rule matching</w:t>
            </w:r>
          </w:p>
        </w:tc>
        <w:tc>
          <w:tcPr>
            <w:tcW w:type="dxa" w:w="2340"/>
            <w:shd w:val="clear" w:color="auto" w:fill="F0F4F8"/>
          </w:tcPr>
          <w:p>
            <w:r>
              <w:rPr>
                <w:rFonts w:ascii="Calibri" w:hAnsi="Calibri"/>
                <w:sz w:val="24"/>
              </w:rPr>
              <w:t>Alert only</w:t>
            </w:r>
          </w:p>
        </w:tc>
        <w:tc>
          <w:tcPr>
            <w:tcW w:type="dxa" w:w="2340"/>
            <w:shd w:val="clear" w:color="auto" w:fill="F0F4F8"/>
          </w:tcPr>
          <w:p>
            <w:r>
              <w:rPr>
                <w:rFonts w:ascii="Calibri" w:hAnsi="Calibri"/>
                <w:sz w:val="24"/>
              </w:rPr>
              <w:t>Cannot detect zero-day or novel variants</w:t>
            </w:r>
          </w:p>
        </w:tc>
      </w:tr>
      <w:tr>
        <w:tc>
          <w:tcPr>
            <w:tcW w:type="dxa" w:w="2340"/>
            <w:shd w:val="clear" w:color="auto" w:fill="FFFFFF"/>
          </w:tcPr>
          <w:p>
            <w:r>
              <w:rPr>
                <w:rFonts w:ascii="Calibri" w:hAnsi="Calibri"/>
                <w:sz w:val="24"/>
              </w:rPr>
              <w:t>Suricata 7.x</w:t>
            </w:r>
          </w:p>
        </w:tc>
        <w:tc>
          <w:tcPr>
            <w:tcW w:type="dxa" w:w="2340"/>
            <w:shd w:val="clear" w:color="auto" w:fill="FFFFFF"/>
          </w:tcPr>
          <w:p>
            <w:r>
              <w:rPr>
                <w:rFonts w:ascii="Calibri" w:hAnsi="Calibri"/>
                <w:sz w:val="24"/>
              </w:rPr>
              <w:t>Signature + protocol analysis</w:t>
            </w:r>
          </w:p>
        </w:tc>
        <w:tc>
          <w:tcPr>
            <w:tcW w:type="dxa" w:w="2340"/>
            <w:shd w:val="clear" w:color="auto" w:fill="FFFFFF"/>
          </w:tcPr>
          <w:p>
            <w:r>
              <w:rPr>
                <w:rFonts w:ascii="Calibri" w:hAnsi="Calibri"/>
                <w:sz w:val="24"/>
              </w:rPr>
              <w:t>Alert + basic drop (IPS mode)</w:t>
            </w:r>
          </w:p>
        </w:tc>
        <w:tc>
          <w:tcPr>
            <w:tcW w:type="dxa" w:w="2340"/>
            <w:shd w:val="clear" w:color="auto" w:fill="FFFFFF"/>
          </w:tcPr>
          <w:p>
            <w:r>
              <w:rPr>
                <w:rFonts w:ascii="Calibri" w:hAnsi="Calibri"/>
                <w:sz w:val="24"/>
              </w:rPr>
              <w:t>Manual rule management; no adaptive scoring</w:t>
            </w:r>
          </w:p>
        </w:tc>
      </w:tr>
      <w:tr>
        <w:tc>
          <w:tcPr>
            <w:tcW w:type="dxa" w:w="2340"/>
            <w:shd w:val="clear" w:color="auto" w:fill="F0F4F8"/>
          </w:tcPr>
          <w:p>
            <w:r>
              <w:rPr>
                <w:rFonts w:ascii="Calibri" w:hAnsi="Calibri"/>
                <w:sz w:val="24"/>
              </w:rPr>
              <w:t>Zeek</w:t>
            </w:r>
          </w:p>
        </w:tc>
        <w:tc>
          <w:tcPr>
            <w:tcW w:type="dxa" w:w="2340"/>
            <w:shd w:val="clear" w:color="auto" w:fill="F0F4F8"/>
          </w:tcPr>
          <w:p>
            <w:r>
              <w:rPr>
                <w:rFonts w:ascii="Calibri" w:hAnsi="Calibri"/>
                <w:sz w:val="24"/>
              </w:rPr>
              <w:t>Protocol behavior logging</w:t>
            </w:r>
          </w:p>
        </w:tc>
        <w:tc>
          <w:tcPr>
            <w:tcW w:type="dxa" w:w="2340"/>
            <w:shd w:val="clear" w:color="auto" w:fill="F0F4F8"/>
          </w:tcPr>
          <w:p>
            <w:r>
              <w:rPr>
                <w:rFonts w:ascii="Calibri" w:hAnsi="Calibri"/>
                <w:sz w:val="24"/>
              </w:rPr>
              <w:t>Logging only</w:t>
            </w:r>
          </w:p>
        </w:tc>
        <w:tc>
          <w:tcPr>
            <w:tcW w:type="dxa" w:w="2340"/>
            <w:shd w:val="clear" w:color="auto" w:fill="F0F4F8"/>
          </w:tcPr>
          <w:p>
            <w:r>
              <w:rPr>
                <w:rFonts w:ascii="Calibri" w:hAnsi="Calibri"/>
                <w:sz w:val="24"/>
              </w:rPr>
              <w:t>No native enforcement; scripting required</w:t>
            </w:r>
          </w:p>
        </w:tc>
      </w:tr>
      <w:tr>
        <w:tc>
          <w:tcPr>
            <w:tcW w:type="dxa" w:w="2340"/>
            <w:shd w:val="clear" w:color="auto" w:fill="FFFFFF"/>
          </w:tcPr>
          <w:p>
            <w:r>
              <w:rPr>
                <w:rFonts w:ascii="Calibri" w:hAnsi="Calibri"/>
                <w:sz w:val="24"/>
              </w:rPr>
              <w:t>OSSEC</w:t>
            </w:r>
          </w:p>
        </w:tc>
        <w:tc>
          <w:tcPr>
            <w:tcW w:type="dxa" w:w="2340"/>
            <w:shd w:val="clear" w:color="auto" w:fill="FFFFFF"/>
          </w:tcPr>
          <w:p>
            <w:r>
              <w:rPr>
                <w:rFonts w:ascii="Calibri" w:hAnsi="Calibri"/>
                <w:sz w:val="24"/>
              </w:rPr>
              <w:t>Log-based correlation</w:t>
            </w:r>
          </w:p>
        </w:tc>
        <w:tc>
          <w:tcPr>
            <w:tcW w:type="dxa" w:w="2340"/>
            <w:shd w:val="clear" w:color="auto" w:fill="FFFFFF"/>
          </w:tcPr>
          <w:p>
            <w:r>
              <w:rPr>
                <w:rFonts w:ascii="Calibri" w:hAnsi="Calibri"/>
                <w:sz w:val="24"/>
              </w:rPr>
              <w:t>Active response (host-based)</w:t>
            </w:r>
          </w:p>
        </w:tc>
        <w:tc>
          <w:tcPr>
            <w:tcW w:type="dxa" w:w="2340"/>
            <w:shd w:val="clear" w:color="auto" w:fill="FFFFFF"/>
          </w:tcPr>
          <w:p>
            <w:r>
              <w:rPr>
                <w:rFonts w:ascii="Calibri" w:hAnsi="Calibri"/>
                <w:sz w:val="24"/>
              </w:rPr>
              <w:t>Not designed for real-time network traffic</w:t>
            </w:r>
          </w:p>
        </w:tc>
      </w:tr>
      <w:tr>
        <w:tc>
          <w:tcPr>
            <w:tcW w:type="dxa" w:w="2340"/>
            <w:shd w:val="clear" w:color="auto" w:fill="F0F4F8"/>
          </w:tcPr>
          <w:p>
            <w:r>
              <w:rPr>
                <w:rFonts w:ascii="Calibri" w:hAnsi="Calibri"/>
                <w:sz w:val="24"/>
              </w:rPr>
              <w:t>NTTH</w:t>
            </w:r>
          </w:p>
        </w:tc>
        <w:tc>
          <w:tcPr>
            <w:tcW w:type="dxa" w:w="2340"/>
            <w:shd w:val="clear" w:color="auto" w:fill="F0F4F8"/>
          </w:tcPr>
          <w:p>
            <w:r>
              <w:rPr>
                <w:rFonts w:ascii="Calibri" w:hAnsi="Calibri"/>
                <w:sz w:val="24"/>
              </w:rPr>
              <w:t>Hybrid: Rules + Isolation Forest</w:t>
            </w:r>
          </w:p>
        </w:tc>
        <w:tc>
          <w:tcPr>
            <w:tcW w:type="dxa" w:w="2340"/>
            <w:shd w:val="clear" w:color="auto" w:fill="F0F4F8"/>
          </w:tcPr>
          <w:p>
            <w:r>
              <w:rPr>
                <w:rFonts w:ascii="Calibri" w:hAnsi="Calibri"/>
                <w:sz w:val="24"/>
              </w:rPr>
              <w:t>Autonomous nftables + honeypot</w:t>
            </w:r>
          </w:p>
        </w:tc>
        <w:tc>
          <w:tcPr>
            <w:tcW w:type="dxa" w:w="2340"/>
            <w:shd w:val="clear" w:color="auto" w:fill="F0F4F8"/>
          </w:tcPr>
          <w:p>
            <w:r>
              <w:rPr>
                <w:rFonts w:ascii="Calibri" w:hAnsi="Calibri"/>
                <w:sz w:val="24"/>
              </w:rPr>
              <w:t>Single-interface, non-encrypted traffic</w:t>
            </w:r>
          </w:p>
        </w:tc>
      </w:tr>
    </w:tbl>
    <w:p>
      <w:pPr>
        <w:spacing w:before="0" w:after="120" w:line="360" w:lineRule="auto"/>
        <w:jc w:val="center"/>
      </w:pPr>
      <w:r>
        <w:rPr>
          <w:rFonts w:ascii="Calibri" w:hAnsi="Calibri"/>
          <w:b w:val="0"/>
          <w:i/>
          <w:sz w:val="24"/>
        </w:rPr>
        <w:t>Table 2.1: Comparison of existing IDS solutions with NTTH.</w:t>
      </w:r>
    </w:p>
    <w:p>
      <w:pPr>
        <w:spacing w:before="240" w:after="120" w:line="360" w:lineRule="auto"/>
      </w:pPr>
      <w:r>
        <w:rPr>
          <w:rFonts w:ascii="Calibri" w:hAnsi="Calibri"/>
          <w:b/>
          <w:i w:val="0"/>
          <w:sz w:val="26"/>
        </w:rPr>
        <w:t>2.2 Anomaly-Based Detection and Machine Learning</w:t>
      </w:r>
    </w:p>
    <w:p>
      <w:pPr>
        <w:spacing w:before="0" w:after="120" w:line="360" w:lineRule="auto"/>
        <w:jc w:val="both"/>
      </w:pPr>
      <w:r>
        <w:rPr>
          <w:rFonts w:ascii="Calibri" w:hAnsi="Calibri"/>
          <w:b w:val="0"/>
          <w:i w:val="0"/>
          <w:sz w:val="24"/>
        </w:rPr>
        <w:t>Anomaly-based intrusion detection takes a fundamentally different approach: rather than matching against known patterns, these systems build a statistical model of normal traffic and flag deviations. This approach can, in principle, detect novel attacks that have no corresponding signature — the primary gap in signature-only systems.</w:t>
      </w:r>
    </w:p>
    <w:p>
      <w:pPr>
        <w:spacing w:before="0" w:after="120" w:line="360" w:lineRule="auto"/>
        <w:jc w:val="both"/>
      </w:pPr>
      <w:r>
        <w:rPr>
          <w:rFonts w:ascii="Calibri" w:hAnsi="Calibri"/>
          <w:b w:val="0"/>
          <w:i w:val="0"/>
          <w:sz w:val="24"/>
        </w:rPr>
        <w:t>Early work in this space by Denning [5] established the conceptual framework of statistical profiling for intrusion detection, proposing that anomaly detection could identify both insider threats and novel external attacks through statistical deviation from baseline behavior. The practical challenge, which subsequent decades of research have wrestled with, is defining what constitutes 'normal' in a dynamic network and minimizing false positives.</w:t>
      </w:r>
    </w:p>
    <w:p>
      <w:pPr>
        <w:spacing w:before="0" w:after="120" w:line="360" w:lineRule="auto"/>
        <w:jc w:val="both"/>
      </w:pPr>
      <w:r>
        <w:rPr>
          <w:rFonts w:ascii="Calibri" w:hAnsi="Calibri"/>
          <w:b w:val="0"/>
          <w:i w:val="0"/>
          <w:sz w:val="24"/>
        </w:rPr>
        <w:t>The Isolation Forest algorithm, proposed by Liu et al. [9], is particularly relevant to this project. Unlike classification-based methods, Isolation Forest is an unsupervised anomaly detector that does not require labeled attack data. The algorithm works by randomly partitioning the feature space using isolation trees; anomalous points — those that are rare or different in feature space — are isolated in fewer partitions on average, yielding a shorter path length and thus a higher anomaly score. This property makes Isolation Forest computationally efficient and well-suited for high-dimensional, continuously arriving network feature vectors.</w:t>
      </w:r>
    </w:p>
    <w:p>
      <w:pPr>
        <w:spacing w:before="0" w:after="120" w:line="360" w:lineRule="auto"/>
        <w:jc w:val="both"/>
      </w:pPr>
      <w:r>
        <w:rPr>
          <w:rFonts w:ascii="Calibri" w:hAnsi="Calibri"/>
          <w:b w:val="0"/>
          <w:i w:val="0"/>
          <w:sz w:val="24"/>
        </w:rPr>
        <w:t>Several studies have evaluated Isolation Forest specifically on network intrusion datasets. Cao et al. [10] applied Isolation Forest on a subset of the CICIDS-2017 dataset and reported an F1 score of 0.89 for detecting DoS attacks and 0.74 for more subtle infiltration attacks, with a false positive rate of approximately 8% on normal traffic. These figures compare favorably to shallow neural network approaches on the same dataset while requiring significantly less training time and no labeled attack examples.</w:t>
      </w:r>
    </w:p>
    <w:p>
      <w:pPr>
        <w:spacing w:before="240" w:after="120" w:line="360" w:lineRule="auto"/>
      </w:pPr>
      <w:r>
        <w:rPr>
          <w:rFonts w:ascii="Calibri" w:hAnsi="Calibri"/>
          <w:b/>
          <w:i w:val="0"/>
          <w:sz w:val="26"/>
        </w:rPr>
        <w:t>2.3 Honeypot Technologies</w:t>
      </w:r>
    </w:p>
    <w:p>
      <w:pPr>
        <w:spacing w:before="0" w:after="120" w:line="360" w:lineRule="auto"/>
        <w:jc w:val="both"/>
      </w:pPr>
      <w:r>
        <w:rPr>
          <w:rFonts w:ascii="Calibri" w:hAnsi="Calibri"/>
          <w:b w:val="0"/>
          <w:i w:val="0"/>
          <w:sz w:val="24"/>
        </w:rPr>
        <w:t>A honeypot is a decoy system deliberately deployed to attract, observe, and log attacker activity. The concept was formally described by Spitzner [12] in his foundational text on honeypot technology, which established the classification between low-interaction honeypots (emulated services with limited attacker interaction) and high-interaction honeypots (full operating systems that allow real attacker sessions at significant operational risk).</w:t>
      </w:r>
    </w:p>
    <w:p>
      <w:pPr>
        <w:spacing w:before="0" w:after="120" w:line="360" w:lineRule="auto"/>
        <w:jc w:val="both"/>
      </w:pPr>
      <w:r>
        <w:rPr>
          <w:rFonts w:ascii="Calibri" w:hAnsi="Calibri"/>
          <w:b w:val="0"/>
          <w:i w:val="0"/>
          <w:sz w:val="24"/>
        </w:rPr>
        <w:t>Cowrie, the SSH and Telnet honeypot used in NTTH, falls into the low-to-medium interaction category. It emulates an SSH server, accepts authentication attempts, and provides a simulated shell environment where attacker commands are logged but not executed on the real host. The key difference between static honeypot deployments and NTTH's approach is flow-aware redirection: NTTH detects an active attacker probing a real host and then transparently redirects that specific traffic flow to the honeypot — the attacker believes they are continuing to interact with their original target while all their activity is being captured.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Honeypot Type</w:t>
            </w:r>
          </w:p>
        </w:tc>
        <w:tc>
          <w:tcPr>
            <w:tcW w:type="dxa" w:w="2340"/>
            <w:shd w:val="clear" w:color="auto" w:fill="1B3A5C"/>
          </w:tcPr>
          <w:p>
            <w:pPr>
              <w:jc w:val="left"/>
            </w:pPr>
            <w:r>
              <w:rPr>
                <w:rFonts w:ascii="Calibri" w:hAnsi="Calibri"/>
                <w:b/>
                <w:color w:val="FFFFFF"/>
                <w:sz w:val="24"/>
              </w:rPr>
              <w:t>Interaction Level</w:t>
            </w:r>
          </w:p>
        </w:tc>
        <w:tc>
          <w:tcPr>
            <w:tcW w:type="dxa" w:w="2340"/>
            <w:shd w:val="clear" w:color="auto" w:fill="1B3A5C"/>
          </w:tcPr>
          <w:p>
            <w:pPr>
              <w:jc w:val="left"/>
            </w:pPr>
            <w:r>
              <w:rPr>
                <w:rFonts w:ascii="Calibri" w:hAnsi="Calibri"/>
                <w:b/>
                <w:color w:val="FFFFFF"/>
                <w:sz w:val="24"/>
              </w:rPr>
              <w:t>Example Tools</w:t>
            </w:r>
          </w:p>
        </w:tc>
        <w:tc>
          <w:tcPr>
            <w:tcW w:type="dxa" w:w="2340"/>
            <w:shd w:val="clear" w:color="auto" w:fill="1B3A5C"/>
          </w:tcPr>
          <w:p>
            <w:pPr>
              <w:jc w:val="left"/>
            </w:pPr>
            <w:r>
              <w:rPr>
                <w:rFonts w:ascii="Calibri" w:hAnsi="Calibri"/>
                <w:b/>
                <w:color w:val="FFFFFF"/>
                <w:sz w:val="24"/>
              </w:rPr>
              <w:t>Capture Capability</w:t>
            </w:r>
          </w:p>
        </w:tc>
      </w:tr>
      <w:tr>
        <w:tc>
          <w:tcPr>
            <w:tcW w:type="dxa" w:w="2340"/>
            <w:shd w:val="clear" w:color="auto" w:fill="F0F4F8"/>
          </w:tcPr>
          <w:p>
            <w:r>
              <w:rPr>
                <w:rFonts w:ascii="Calibri" w:hAnsi="Calibri"/>
                <w:sz w:val="24"/>
              </w:rPr>
              <w:t>Low-interaction</w:t>
            </w:r>
          </w:p>
        </w:tc>
        <w:tc>
          <w:tcPr>
            <w:tcW w:type="dxa" w:w="2340"/>
            <w:shd w:val="clear" w:color="auto" w:fill="F0F4F8"/>
          </w:tcPr>
          <w:p>
            <w:r>
              <w:rPr>
                <w:rFonts w:ascii="Calibri" w:hAnsi="Calibri"/>
                <w:sz w:val="24"/>
              </w:rPr>
              <w:t>Emulated service responses only</w:t>
            </w:r>
          </w:p>
        </w:tc>
        <w:tc>
          <w:tcPr>
            <w:tcW w:type="dxa" w:w="2340"/>
            <w:shd w:val="clear" w:color="auto" w:fill="F0F4F8"/>
          </w:tcPr>
          <w:p>
            <w:r>
              <w:rPr>
                <w:rFonts w:ascii="Calibri" w:hAnsi="Calibri"/>
                <w:sz w:val="24"/>
              </w:rPr>
              <w:t>Honeyd, Glastopf</w:t>
            </w:r>
          </w:p>
        </w:tc>
        <w:tc>
          <w:tcPr>
            <w:tcW w:type="dxa" w:w="2340"/>
            <w:shd w:val="clear" w:color="auto" w:fill="F0F4F8"/>
          </w:tcPr>
          <w:p>
            <w:r>
              <w:rPr>
                <w:rFonts w:ascii="Calibri" w:hAnsi="Calibri"/>
                <w:sz w:val="24"/>
              </w:rPr>
              <w:t>Connection attempts, basic payloads</w:t>
            </w:r>
          </w:p>
        </w:tc>
      </w:tr>
      <w:tr>
        <w:tc>
          <w:tcPr>
            <w:tcW w:type="dxa" w:w="2340"/>
            <w:shd w:val="clear" w:color="auto" w:fill="FFFFFF"/>
          </w:tcPr>
          <w:p>
            <w:r>
              <w:rPr>
                <w:rFonts w:ascii="Calibri" w:hAnsi="Calibri"/>
                <w:sz w:val="24"/>
              </w:rPr>
              <w:t>Medium-interaction</w:t>
            </w:r>
          </w:p>
        </w:tc>
        <w:tc>
          <w:tcPr>
            <w:tcW w:type="dxa" w:w="2340"/>
            <w:shd w:val="clear" w:color="auto" w:fill="FFFFFF"/>
          </w:tcPr>
          <w:p>
            <w:r>
              <w:rPr>
                <w:rFonts w:ascii="Calibri" w:hAnsi="Calibri"/>
                <w:sz w:val="24"/>
              </w:rPr>
              <w:t>Simulated shell environment</w:t>
            </w:r>
          </w:p>
        </w:tc>
        <w:tc>
          <w:tcPr>
            <w:tcW w:type="dxa" w:w="2340"/>
            <w:shd w:val="clear" w:color="auto" w:fill="FFFFFF"/>
          </w:tcPr>
          <w:p>
            <w:r>
              <w:rPr>
                <w:rFonts w:ascii="Calibri" w:hAnsi="Calibri"/>
                <w:sz w:val="24"/>
              </w:rPr>
              <w:t>Cowrie, Kippo</w:t>
            </w:r>
          </w:p>
        </w:tc>
        <w:tc>
          <w:tcPr>
            <w:tcW w:type="dxa" w:w="2340"/>
            <w:shd w:val="clear" w:color="auto" w:fill="FFFFFF"/>
          </w:tcPr>
          <w:p>
            <w:r>
              <w:rPr>
                <w:rFonts w:ascii="Calibri" w:hAnsi="Calibri"/>
                <w:sz w:val="24"/>
              </w:rPr>
              <w:t>Commands, credential attempts, file downloads</w:t>
            </w:r>
          </w:p>
        </w:tc>
      </w:tr>
      <w:tr>
        <w:tc>
          <w:tcPr>
            <w:tcW w:type="dxa" w:w="2340"/>
            <w:shd w:val="clear" w:color="auto" w:fill="F0F4F8"/>
          </w:tcPr>
          <w:p>
            <w:r>
              <w:rPr>
                <w:rFonts w:ascii="Calibri" w:hAnsi="Calibri"/>
                <w:sz w:val="24"/>
              </w:rPr>
              <w:t>High-interaction</w:t>
            </w:r>
          </w:p>
        </w:tc>
        <w:tc>
          <w:tcPr>
            <w:tcW w:type="dxa" w:w="2340"/>
            <w:shd w:val="clear" w:color="auto" w:fill="F0F4F8"/>
          </w:tcPr>
          <w:p>
            <w:r>
              <w:rPr>
                <w:rFonts w:ascii="Calibri" w:hAnsi="Calibri"/>
                <w:sz w:val="24"/>
              </w:rPr>
              <w:t>Full OS, real services</w:t>
            </w:r>
          </w:p>
        </w:tc>
        <w:tc>
          <w:tcPr>
            <w:tcW w:type="dxa" w:w="2340"/>
            <w:shd w:val="clear" w:color="auto" w:fill="F0F4F8"/>
          </w:tcPr>
          <w:p>
            <w:r>
              <w:rPr>
                <w:rFonts w:ascii="Calibri" w:hAnsi="Calibri"/>
                <w:sz w:val="24"/>
              </w:rPr>
              <w:t>Custom VM, HoneyBOX</w:t>
            </w:r>
          </w:p>
        </w:tc>
        <w:tc>
          <w:tcPr>
            <w:tcW w:type="dxa" w:w="2340"/>
            <w:shd w:val="clear" w:color="auto" w:fill="F0F4F8"/>
          </w:tcPr>
          <w:p>
            <w:r>
              <w:rPr>
                <w:rFonts w:ascii="Calibri" w:hAnsi="Calibri"/>
                <w:sz w:val="24"/>
              </w:rPr>
              <w:t>Full session, malware execution</w:t>
            </w:r>
          </w:p>
        </w:tc>
      </w:tr>
      <w:tr>
        <w:tc>
          <w:tcPr>
            <w:tcW w:type="dxa" w:w="2340"/>
            <w:shd w:val="clear" w:color="auto" w:fill="FFFFFF"/>
          </w:tcPr>
          <w:p>
            <w:r>
              <w:rPr>
                <w:rFonts w:ascii="Calibri" w:hAnsi="Calibri"/>
                <w:sz w:val="24"/>
              </w:rPr>
              <w:t>NTTH (Flow-redirected)</w:t>
            </w:r>
          </w:p>
        </w:tc>
        <w:tc>
          <w:tcPr>
            <w:tcW w:type="dxa" w:w="2340"/>
            <w:shd w:val="clear" w:color="auto" w:fill="FFFFFF"/>
          </w:tcPr>
          <w:p>
            <w:r>
              <w:rPr>
                <w:rFonts w:ascii="Calibri" w:hAnsi="Calibri"/>
                <w:sz w:val="24"/>
              </w:rPr>
              <w:t>Medium — Cowrie + HTTP trap</w:t>
            </w:r>
          </w:p>
        </w:tc>
        <w:tc>
          <w:tcPr>
            <w:tcW w:type="dxa" w:w="2340"/>
            <w:shd w:val="clear" w:color="auto" w:fill="FFFFFF"/>
          </w:tcPr>
          <w:p>
            <w:r>
              <w:rPr>
                <w:rFonts w:ascii="Calibri" w:hAnsi="Calibri"/>
                <w:sz w:val="24"/>
              </w:rPr>
              <w:t>Cowrie + custom Python HTTP</w:t>
            </w:r>
          </w:p>
        </w:tc>
        <w:tc>
          <w:tcPr>
            <w:tcW w:type="dxa" w:w="2340"/>
            <w:shd w:val="clear" w:color="auto" w:fill="FFFFFF"/>
          </w:tcPr>
          <w:p>
            <w:r>
              <w:rPr>
                <w:rFonts w:ascii="Calibri" w:hAnsi="Calibri"/>
                <w:sz w:val="24"/>
              </w:rPr>
              <w:t>Commands, credentials, HTTP payloads</w:t>
            </w:r>
          </w:p>
        </w:tc>
      </w:tr>
    </w:tbl>
    <w:p>
      <w:pPr>
        <w:spacing w:before="0" w:after="120" w:line="360" w:lineRule="auto"/>
        <w:jc w:val="center"/>
      </w:pPr>
      <w:r>
        <w:rPr>
          <w:rFonts w:ascii="Calibri" w:hAnsi="Calibri"/>
          <w:b w:val="0"/>
          <w:i/>
          <w:sz w:val="24"/>
        </w:rPr>
        <w:t>Table 2.2: Comparison of honeypot interaction levels and capture capabilities.</w:t>
      </w:r>
    </w:p>
    <w:p>
      <w:pPr>
        <w:spacing w:before="240" w:after="120" w:line="360" w:lineRule="auto"/>
      </w:pPr>
      <w:r>
        <w:rPr>
          <w:rFonts w:ascii="Calibri" w:hAnsi="Calibri"/>
          <w:b/>
          <w:i w:val="0"/>
          <w:sz w:val="26"/>
        </w:rPr>
        <w:t>2.4 Autonomous Network Defense Architectures</w:t>
      </w:r>
    </w:p>
    <w:p>
      <w:pPr>
        <w:spacing w:before="0" w:after="120" w:line="360" w:lineRule="auto"/>
        <w:jc w:val="both"/>
      </w:pPr>
      <w:r>
        <w:rPr>
          <w:rFonts w:ascii="Calibri" w:hAnsi="Calibri"/>
          <w:b w:val="0"/>
          <w:i w:val="0"/>
          <w:sz w:val="24"/>
        </w:rPr>
        <w:t>The concept of autonomous or self-defending networks gained significant attention following IBM's Autonomic Computing initiative in the early 2000s, which proposed systems capable of self-configuration, self-healing, self-optimization, and self-protection. Kephart and Chess [16] described the theoretical foundations, arguing that increasing network complexity made human-administered management increasingly untenable. The practical realization of autonomous network defense has moved slowly due to concerns about automated responses generating collateral damage.</w:t>
      </w:r>
    </w:p>
    <w:p>
      <w:pPr>
        <w:spacing w:before="0" w:after="120" w:line="360" w:lineRule="auto"/>
        <w:jc w:val="both"/>
      </w:pPr>
      <w:r>
        <w:rPr>
          <w:rFonts w:ascii="Calibri" w:hAnsi="Calibri"/>
          <w:b w:val="0"/>
          <w:i w:val="0"/>
          <w:sz w:val="24"/>
        </w:rPr>
        <w:t>Bilge and Dumitras [17] studied automated exploitation and argued that the only effective counter to automated attacks is automated defense, since human response times cannot match the speed of modern automated exploitation frameworks. Sommer and Paxson [19] raised important concerns about the deployment of machine learning in security contexts, noting that the cost of false positives in security systems is much higher than in typical classification domains. These concerns influenced NTTH's design choice to retain human-readable risk scores and configurable enforcement thresholds.</w:t>
      </w:r>
    </w:p>
    <w:p>
      <w:pPr>
        <w:spacing w:before="240" w:after="120" w:line="360" w:lineRule="auto"/>
      </w:pPr>
      <w:r>
        <w:rPr>
          <w:rFonts w:ascii="Calibri" w:hAnsi="Calibri"/>
          <w:b/>
          <w:i w:val="0"/>
          <w:sz w:val="26"/>
        </w:rPr>
        <w:t>2.5 WiFi Probe Request Monitoring</w:t>
      </w:r>
    </w:p>
    <w:p>
      <w:pPr>
        <w:spacing w:before="0" w:after="120" w:line="360" w:lineRule="auto"/>
        <w:jc w:val="both"/>
      </w:pPr>
      <w:r>
        <w:rPr>
          <w:rFonts w:ascii="Calibri" w:hAnsi="Calibri"/>
          <w:b w:val="0"/>
          <w:i w:val="0"/>
          <w:sz w:val="24"/>
        </w:rPr>
        <w:t>IEEE 802.11 probe requests are broadcast frames transmitted by wireless client devices as they scan for known access points. Each probe typically contains the client's MAC address and, in older firmware implementations, the SSID of previously associated networks. These frames are transmitted in plaintext on the 2.4 GHz and 5 GHz bands and are receivable by any adapter placed in monitor mode.</w:t>
      </w:r>
    </w:p>
    <w:p>
      <w:pPr>
        <w:spacing w:before="0" w:after="120" w:line="360" w:lineRule="auto"/>
        <w:jc w:val="both"/>
      </w:pPr>
      <w:r>
        <w:rPr>
          <w:rFonts w:ascii="Calibri" w:hAnsi="Calibri"/>
          <w:b w:val="0"/>
          <w:i w:val="0"/>
          <w:sz w:val="24"/>
        </w:rPr>
        <w:t>Deauthentication attacks exploit a design weakness in the 802.11 management frame specification: deauthentication and disassociation frames are not authenticated in the base standard, meaning any device can forge them. Franklin et al. [20] demonstrated this practically, showing that a single attacker with an inexpensive wireless adapter could forcibly disconnect any client from any access point within radio range. The NTTH wireless monitoring module uses the Atheros AR9271 chipset to passively capture probe requests and raises alerts when the deauthentication frame rate exceeds the configured threshold.</w:t>
      </w:r>
    </w:p>
    <w:p>
      <w:pPr>
        <w:spacing w:before="240" w:after="120" w:line="360" w:lineRule="auto"/>
      </w:pPr>
      <w:r>
        <w:rPr>
          <w:rFonts w:ascii="Calibri" w:hAnsi="Calibri"/>
          <w:b/>
          <w:i w:val="0"/>
          <w:sz w:val="26"/>
        </w:rPr>
        <w:t>2.6 Summary of Research Gaps</w:t>
      </w:r>
    </w:p>
    <w:p>
      <w:pPr>
        <w:spacing w:before="0" w:after="120" w:line="360" w:lineRule="auto"/>
        <w:jc w:val="both"/>
      </w:pPr>
      <w:r>
        <w:rPr>
          <w:rFonts w:ascii="Calibri" w:hAnsi="Calibri"/>
          <w:b w:val="0"/>
          <w:i w:val="0"/>
          <w:sz w:val="24"/>
        </w:rPr>
        <w:t>The literature review reveals several specific gaps that NTTH attempts to address. Signature-based IDS systems are well-studied and effective for known attacks but fundamentally cannot detect novel variants. Anomaly detection using Isolation Forest has shown strong results on benchmark datasets but has rarely been integrated with signature detection in a composite scoring framework for real-time enforcement. Honeypot systems are widely studied but static in most deployments. The concept of flow-aware redirection using kernel-level traffic steering has not been widely implemented in open-source network defense tools.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Gap Area</w:t>
            </w:r>
          </w:p>
        </w:tc>
        <w:tc>
          <w:tcPr>
            <w:tcW w:type="dxa" w:w="3120"/>
            <w:shd w:val="clear" w:color="auto" w:fill="1B3A5C"/>
          </w:tcPr>
          <w:p>
            <w:pPr>
              <w:jc w:val="left"/>
            </w:pPr>
            <w:r>
              <w:rPr>
                <w:rFonts w:ascii="Calibri" w:hAnsi="Calibri"/>
                <w:b/>
                <w:color w:val="FFFFFF"/>
                <w:sz w:val="24"/>
              </w:rPr>
              <w:t>Existing Limitation</w:t>
            </w:r>
          </w:p>
        </w:tc>
        <w:tc>
          <w:tcPr>
            <w:tcW w:type="dxa" w:w="3120"/>
            <w:shd w:val="clear" w:color="auto" w:fill="1B3A5C"/>
          </w:tcPr>
          <w:p>
            <w:pPr>
              <w:jc w:val="left"/>
            </w:pPr>
            <w:r>
              <w:rPr>
                <w:rFonts w:ascii="Calibri" w:hAnsi="Calibri"/>
                <w:b/>
                <w:color w:val="FFFFFF"/>
                <w:sz w:val="24"/>
              </w:rPr>
              <w:t>NTTH Contribution</w:t>
            </w:r>
          </w:p>
        </w:tc>
      </w:tr>
      <w:tr>
        <w:tc>
          <w:tcPr>
            <w:tcW w:type="dxa" w:w="3120"/>
            <w:shd w:val="clear" w:color="auto" w:fill="F0F4F8"/>
          </w:tcPr>
          <w:p>
            <w:r>
              <w:rPr>
                <w:rFonts w:ascii="Calibri" w:hAnsi="Calibri"/>
                <w:sz w:val="24"/>
              </w:rPr>
              <w:t>Detection coverage</w:t>
            </w:r>
          </w:p>
        </w:tc>
        <w:tc>
          <w:tcPr>
            <w:tcW w:type="dxa" w:w="3120"/>
            <w:shd w:val="clear" w:color="auto" w:fill="F0F4F8"/>
          </w:tcPr>
          <w:p>
            <w:r>
              <w:rPr>
                <w:rFonts w:ascii="Calibri" w:hAnsi="Calibri"/>
                <w:sz w:val="24"/>
              </w:rPr>
              <w:t>Signature-only tools miss zero-day and novel variants</w:t>
            </w:r>
          </w:p>
        </w:tc>
        <w:tc>
          <w:tcPr>
            <w:tcW w:type="dxa" w:w="3120"/>
            <w:shd w:val="clear" w:color="auto" w:fill="F0F4F8"/>
          </w:tcPr>
          <w:p>
            <w:r>
              <w:rPr>
                <w:rFonts w:ascii="Calibri" w:hAnsi="Calibri"/>
                <w:sz w:val="24"/>
              </w:rPr>
              <w:t>Hybrid: IDS rules 0.6 + Isolation Forest 0.4</w:t>
            </w:r>
          </w:p>
        </w:tc>
      </w:tr>
      <w:tr>
        <w:tc>
          <w:tcPr>
            <w:tcW w:type="dxa" w:w="3120"/>
            <w:shd w:val="clear" w:color="auto" w:fill="FFFFFF"/>
          </w:tcPr>
          <w:p>
            <w:r>
              <w:rPr>
                <w:rFonts w:ascii="Calibri" w:hAnsi="Calibri"/>
                <w:sz w:val="24"/>
              </w:rPr>
              <w:t>Response automation</w:t>
            </w:r>
          </w:p>
        </w:tc>
        <w:tc>
          <w:tcPr>
            <w:tcW w:type="dxa" w:w="3120"/>
            <w:shd w:val="clear" w:color="auto" w:fill="FFFFFF"/>
          </w:tcPr>
          <w:p>
            <w:r>
              <w:rPr>
                <w:rFonts w:ascii="Calibri" w:hAnsi="Calibri"/>
                <w:sz w:val="24"/>
              </w:rPr>
              <w:t>Most IDS tools require manual enforcement</w:t>
            </w:r>
          </w:p>
        </w:tc>
        <w:tc>
          <w:tcPr>
            <w:tcW w:type="dxa" w:w="3120"/>
            <w:shd w:val="clear" w:color="auto" w:fill="FFFFFF"/>
          </w:tcPr>
          <w:p>
            <w:r>
              <w:rPr>
                <w:rFonts w:ascii="Calibri" w:hAnsi="Calibri"/>
                <w:sz w:val="24"/>
              </w:rPr>
              <w:t>Fully autonomous nftables rule generation</w:t>
            </w:r>
          </w:p>
        </w:tc>
      </w:tr>
      <w:tr>
        <w:tc>
          <w:tcPr>
            <w:tcW w:type="dxa" w:w="3120"/>
            <w:shd w:val="clear" w:color="auto" w:fill="F0F4F8"/>
          </w:tcPr>
          <w:p>
            <w:r>
              <w:rPr>
                <w:rFonts w:ascii="Calibri" w:hAnsi="Calibri"/>
                <w:sz w:val="24"/>
              </w:rPr>
              <w:t>Honeypot integration</w:t>
            </w:r>
          </w:p>
        </w:tc>
        <w:tc>
          <w:tcPr>
            <w:tcW w:type="dxa" w:w="3120"/>
            <w:shd w:val="clear" w:color="auto" w:fill="F0F4F8"/>
          </w:tcPr>
          <w:p>
            <w:r>
              <w:rPr>
                <w:rFonts w:ascii="Calibri" w:hAnsi="Calibri"/>
                <w:sz w:val="24"/>
              </w:rPr>
              <w:t>Static honeypots attract opportunistic traffic only</w:t>
            </w:r>
          </w:p>
        </w:tc>
        <w:tc>
          <w:tcPr>
            <w:tcW w:type="dxa" w:w="3120"/>
            <w:shd w:val="clear" w:color="auto" w:fill="F0F4F8"/>
          </w:tcPr>
          <w:p>
            <w:r>
              <w:rPr>
                <w:rFonts w:ascii="Calibri" w:hAnsi="Calibri"/>
                <w:sz w:val="24"/>
              </w:rPr>
              <w:t>Flow-aware redirection of active attacker flows</w:t>
            </w:r>
          </w:p>
        </w:tc>
      </w:tr>
      <w:tr>
        <w:tc>
          <w:tcPr>
            <w:tcW w:type="dxa" w:w="3120"/>
            <w:shd w:val="clear" w:color="auto" w:fill="FFFFFF"/>
          </w:tcPr>
          <w:p>
            <w:r>
              <w:rPr>
                <w:rFonts w:ascii="Calibri" w:hAnsi="Calibri"/>
                <w:sz w:val="24"/>
              </w:rPr>
              <w:t>Wireless monitoring</w:t>
            </w:r>
          </w:p>
        </w:tc>
        <w:tc>
          <w:tcPr>
            <w:tcW w:type="dxa" w:w="3120"/>
            <w:shd w:val="clear" w:color="auto" w:fill="FFFFFF"/>
          </w:tcPr>
          <w:p>
            <w:r>
              <w:rPr>
                <w:rFonts w:ascii="Calibri" w:hAnsi="Calibri"/>
                <w:sz w:val="24"/>
              </w:rPr>
              <w:t>Separate tools required for WiFi detection</w:t>
            </w:r>
          </w:p>
        </w:tc>
        <w:tc>
          <w:tcPr>
            <w:tcW w:type="dxa" w:w="3120"/>
            <w:shd w:val="clear" w:color="auto" w:fill="FFFFFF"/>
          </w:tcPr>
          <w:p>
            <w:r>
              <w:rPr>
                <w:rFonts w:ascii="Calibri" w:hAnsi="Calibri"/>
                <w:sz w:val="24"/>
              </w:rPr>
              <w:t>Integrated probe request and deauth monitoring</w:t>
            </w:r>
          </w:p>
        </w:tc>
      </w:tr>
      <w:tr>
        <w:tc>
          <w:tcPr>
            <w:tcW w:type="dxa" w:w="3120"/>
            <w:shd w:val="clear" w:color="auto" w:fill="F0F4F8"/>
          </w:tcPr>
          <w:p>
            <w:r>
              <w:rPr>
                <w:rFonts w:ascii="Calibri" w:hAnsi="Calibri"/>
                <w:sz w:val="24"/>
              </w:rPr>
              <w:t>Deployment cost</w:t>
            </w:r>
          </w:p>
        </w:tc>
        <w:tc>
          <w:tcPr>
            <w:tcW w:type="dxa" w:w="3120"/>
            <w:shd w:val="clear" w:color="auto" w:fill="F0F4F8"/>
          </w:tcPr>
          <w:p>
            <w:r>
              <w:rPr>
                <w:rFonts w:ascii="Calibri" w:hAnsi="Calibri"/>
                <w:sz w:val="24"/>
              </w:rPr>
              <w:t>Enterprise SIEM/SOAR platforms are cost-prohibitive</w:t>
            </w:r>
          </w:p>
        </w:tc>
        <w:tc>
          <w:tcPr>
            <w:tcW w:type="dxa" w:w="3120"/>
            <w:shd w:val="clear" w:color="auto" w:fill="F0F4F8"/>
          </w:tcPr>
          <w:p>
            <w:r>
              <w:rPr>
                <w:rFonts w:ascii="Calibri" w:hAnsi="Calibri"/>
                <w:sz w:val="24"/>
              </w:rPr>
              <w:t>Full deployment on commodity hardware (&lt; $100)</w:t>
            </w:r>
          </w:p>
        </w:tc>
      </w:tr>
      <w:tr>
        <w:tc>
          <w:tcPr>
            <w:tcW w:type="dxa" w:w="3120"/>
            <w:shd w:val="clear" w:color="auto" w:fill="FFFFFF"/>
          </w:tcPr>
          <w:p>
            <w:r>
              <w:rPr>
                <w:rFonts w:ascii="Calibri" w:hAnsi="Calibri"/>
                <w:sz w:val="24"/>
              </w:rPr>
              <w:t>Dashboard accessibility</w:t>
            </w:r>
          </w:p>
        </w:tc>
        <w:tc>
          <w:tcPr>
            <w:tcW w:type="dxa" w:w="3120"/>
            <w:shd w:val="clear" w:color="auto" w:fill="FFFFFF"/>
          </w:tcPr>
          <w:p>
            <w:r>
              <w:rPr>
                <w:rFonts w:ascii="Calibri" w:hAnsi="Calibri"/>
                <w:sz w:val="24"/>
              </w:rPr>
              <w:t>Web consoles only; no mobile dashboard</w:t>
            </w:r>
          </w:p>
        </w:tc>
        <w:tc>
          <w:tcPr>
            <w:tcW w:type="dxa" w:w="3120"/>
            <w:shd w:val="clear" w:color="auto" w:fill="FFFFFF"/>
          </w:tcPr>
          <w:p>
            <w:r>
              <w:rPr>
                <w:rFonts w:ascii="Calibri" w:hAnsi="Calibri"/>
                <w:sz w:val="24"/>
              </w:rPr>
              <w:t>Flutter dashboard — Web and Android unified</w:t>
            </w:r>
          </w:p>
        </w:tc>
      </w:tr>
    </w:tbl>
    <w:p>
      <w:pPr>
        <w:spacing w:before="0" w:after="120" w:line="360" w:lineRule="auto"/>
        <w:jc w:val="center"/>
      </w:pPr>
      <w:r>
        <w:rPr>
          <w:rFonts w:ascii="Calibri" w:hAnsi="Calibri"/>
          <w:b w:val="0"/>
          <w:i/>
          <w:sz w:val="24"/>
        </w:rPr>
        <w:t>Table 2.3: Summary of identified research gaps and NTTH's corresponding contributions.</w:t>
      </w:r>
    </w:p>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