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1B3A5C"/>
          <w:sz w:val="26"/>
        </w:rPr>
        <w:t>CHAPTER 3</w:t>
      </w:r>
    </w:p>
    <w:p>
      <w:pPr>
        <w:spacing w:before="240" w:after="120" w:line="360" w:lineRule="auto"/>
        <w:jc w:val="center"/>
      </w:pPr>
      <w:r>
        <w:rPr>
          <w:rFonts w:ascii="Calibri" w:hAnsi="Calibri"/>
          <w:b/>
          <w:i w:val="0"/>
          <w:sz w:val="28"/>
        </w:rPr>
        <w:t>System Design and Architecture</w:t>
      </w:r>
    </w:p>
    <w:p>
      <w:pPr>
        <w:spacing w:before="240" w:after="120" w:line="360" w:lineRule="auto"/>
      </w:pPr>
      <w:r>
        <w:rPr>
          <w:rFonts w:ascii="Calibri" w:hAnsi="Calibri"/>
          <w:b/>
          <w:i w:val="0"/>
          <w:sz w:val="26"/>
        </w:rPr>
        <w:t>3.1 System Overview</w:t>
      </w:r>
    </w:p>
    <w:p>
      <w:pPr>
        <w:spacing w:before="0" w:after="120" w:line="360" w:lineRule="auto"/>
        <w:jc w:val="both"/>
      </w:pPr>
      <w:r>
        <w:rPr>
          <w:rFonts w:ascii="Calibri" w:hAnsi="Calibri"/>
          <w:b w:val="0"/>
          <w:i w:val="0"/>
          <w:sz w:val="24"/>
        </w:rPr>
        <w:t>NTTH is architected as a five-phase autonomous pipeline operating on a single gateway host that serves simultaneously as a packet capture point, threat analysis engine, enforcement node, and monitoring server. The five phases — Capture, Assess, Decide, Enforce, and Report — map directly to the agent-inspired processing model described in the following section. All inter-phase communication is handled through an asynchronous Redis Pub/Sub event bus, which decouples each processing stage and allows them to operate at independent rates without blocking.</w:t>
      </w:r>
    </w:p>
    <w:p>
      <w:pPr>
        <w:spacing w:before="0" w:after="120" w:line="360" w:lineRule="auto"/>
        <w:jc w:val="both"/>
      </w:pPr>
      <w:r>
        <w:rPr>
          <w:rFonts w:ascii="Calibri" w:hAnsi="Calibri"/>
          <w:b w:val="0"/>
          <w:i w:val="0"/>
          <w:sz w:val="24"/>
        </w:rPr>
        <w:t>The system's physical topology is straightforward: the NTTH host is positioned inline between the LAN switch and the upstream gateway, or alternatively connected to a SPAN (Switch Port Analyzer) port on a managed switch. In the test deployment described in Chapter 5, the NTTH host is an Ubuntu 22.04 laptop with the network interface bridged between the LAN and WAN interfaces, allowing all traffic to pass through the capture engine in both directions.</w:t>
      </w:r>
    </w:p>
    <w:p>
      <w:pPr>
        <w:spacing w:before="0" w:after="120" w:line="360" w:lineRule="auto"/>
        <w:jc w:val="both"/>
      </w:pPr>
      <w:r>
        <w:rPr>
          <w:rFonts w:ascii="Calibri" w:hAnsi="Calibri"/>
          <w:b w:val="0"/>
          <w:i w:val="0"/>
          <w:sz w:val="24"/>
        </w:rPr>
        <w:t>A second interface — the Atheros AR9271 USB WiFi adapter — operates independently in monitor mode on the 2.4 GHz band, feeding probe request and management frame data into the wireless monitoring subsystem without interfering with the primary wired capture. The entire system, including all backend services, the Redis message broker, the SQLite database, and the Cowrie honeypot, runs within Docker containers orchestrated by a single docker-compose configuration file.</w:t>
      </w:r>
    </w:p>
    <w:p>
      <w:pPr>
        <w:spacing w:before="120" w:after="40"/>
        <w:jc w:val="center"/>
        <w:pBdr>
          <w:top w:val="single" w:sz="6" w:space="4" w:color="1B3A5C"/>
          <w:left w:val="single" w:sz="6" w:space="4" w:color="1B3A5C"/>
          <w:bottom w:val="single" w:sz="6" w:space="4" w:color="1B3A5C"/>
          <w:right w:val="single" w:sz="6" w:space="4" w:color="1B3A5C"/>
        </w:pBdr>
      </w:pPr>
      <w:r>
        <w:rPr>
          <w:rFonts w:ascii="Calibri" w:hAnsi="Calibri"/>
          <w:i/>
          <w:color w:val="555555"/>
          <w:sz w:val="20"/>
        </w:rPr>
        <w:t>[Fig 3.1: System Architecture: Five-Phase Pipeline — LAN Traffic → Scapy Capture → Feature Extractor → Risk Scorer (IDS + Isolation Forest) → Decision Engine → nftables Enforcer / Honeypot Redirector → Flutter Dashboard + Logging]</w:t>
      </w:r>
    </w:p>
    <w:p>
      <w:pPr>
        <w:spacing w:before="240" w:after="120" w:line="360" w:lineRule="auto"/>
      </w:pPr>
      <w:r>
        <w:rPr>
          <w:rFonts w:ascii="Calibri" w:hAnsi="Calibri"/>
          <w:b/>
          <w:i w:val="0"/>
          <w:sz w:val="26"/>
        </w:rPr>
        <w:t>3.2 Agent-Inspired Pipeline Design</w:t>
      </w:r>
    </w:p>
    <w:p>
      <w:pPr>
        <w:spacing w:before="0" w:after="120" w:line="360" w:lineRule="auto"/>
        <w:jc w:val="both"/>
      </w:pPr>
      <w:r>
        <w:rPr>
          <w:rFonts w:ascii="Calibri" w:hAnsi="Calibri"/>
          <w:b w:val="0"/>
          <w:i w:val="0"/>
          <w:sz w:val="24"/>
        </w:rPr>
        <w:t>The term 'agent-inspired' reflects the design philosophy rather than a strict implementation of a cognitive agent framework. Each processing stage in NTTH operates as an autonomous functional unit with a defined input, a defined output, and no shared mutable state with adjacent stages. Stages communicate exclusively through published events on named Redis channels. This design pattern draws from the agent-based system literature — specifically the Perceive-Reason-Act loop described by Russell and Norvig [21] — adapted to the requirements of a low-latency network processing pipeline.</w:t>
      </w:r>
    </w:p>
    <w:p>
      <w:pPr>
        <w:spacing w:before="0" w:after="120" w:line="360" w:lineRule="auto"/>
        <w:jc w:val="both"/>
      </w:pPr>
      <w:r>
        <w:rPr>
          <w:rFonts w:ascii="Calibri" w:hAnsi="Calibri"/>
          <w:b w:val="0"/>
          <w:i w:val="0"/>
          <w:sz w:val="24"/>
        </w:rPr>
        <w:t>The four autonomous agent stages following the Capture phase are: the Threat Assessment Agent (subscribes to raw feature vectors, runs IDS + Isolation Forest, publishes composite ThreatEvent); the Decision Making Agent (applies threshold logic, determines response action, publishes EnforcementDirective); the Enforcement Agent (executes nftables rules or honeypot DNAT redirects); and the Reporting Agent (writes to SQLite database, broadcasts WebSocket updates to Flutter dashboard clients).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B3A5C"/>
          </w:tcPr>
          <w:p>
            <w:pPr>
              <w:jc w:val="left"/>
            </w:pPr>
            <w:r>
              <w:rPr>
                <w:rFonts w:ascii="Calibri" w:hAnsi="Calibri"/>
                <w:b/>
                <w:color w:val="FFFFFF"/>
                <w:sz w:val="24"/>
              </w:rPr>
              <w:t>Stage</w:t>
            </w:r>
          </w:p>
        </w:tc>
        <w:tc>
          <w:tcPr>
            <w:tcW w:type="dxa" w:w="1872"/>
            <w:shd w:val="clear" w:color="auto" w:fill="1B3A5C"/>
          </w:tcPr>
          <w:p>
            <w:pPr>
              <w:jc w:val="left"/>
            </w:pPr>
            <w:r>
              <w:rPr>
                <w:rFonts w:ascii="Calibri" w:hAnsi="Calibri"/>
                <w:b/>
                <w:color w:val="FFFFFF"/>
                <w:sz w:val="24"/>
              </w:rPr>
              <w:t>Agent Name</w:t>
            </w:r>
          </w:p>
        </w:tc>
        <w:tc>
          <w:tcPr>
            <w:tcW w:type="dxa" w:w="1872"/>
            <w:shd w:val="clear" w:color="auto" w:fill="1B3A5C"/>
          </w:tcPr>
          <w:p>
            <w:pPr>
              <w:jc w:val="left"/>
            </w:pPr>
            <w:r>
              <w:rPr>
                <w:rFonts w:ascii="Calibri" w:hAnsi="Calibri"/>
                <w:b/>
                <w:color w:val="FFFFFF"/>
                <w:sz w:val="24"/>
              </w:rPr>
              <w:t>Input Channel</w:t>
            </w:r>
          </w:p>
        </w:tc>
        <w:tc>
          <w:tcPr>
            <w:tcW w:type="dxa" w:w="1872"/>
            <w:shd w:val="clear" w:color="auto" w:fill="1B3A5C"/>
          </w:tcPr>
          <w:p>
            <w:pPr>
              <w:jc w:val="left"/>
            </w:pPr>
            <w:r>
              <w:rPr>
                <w:rFonts w:ascii="Calibri" w:hAnsi="Calibri"/>
                <w:b/>
                <w:color w:val="FFFFFF"/>
                <w:sz w:val="24"/>
              </w:rPr>
              <w:t>Output Channel</w:t>
            </w:r>
          </w:p>
        </w:tc>
        <w:tc>
          <w:tcPr>
            <w:tcW w:type="dxa" w:w="1872"/>
            <w:shd w:val="clear" w:color="auto" w:fill="1B3A5C"/>
          </w:tcPr>
          <w:p>
            <w:pPr>
              <w:jc w:val="left"/>
            </w:pPr>
            <w:r>
              <w:rPr>
                <w:rFonts w:ascii="Calibri" w:hAnsi="Calibri"/>
                <w:b/>
                <w:color w:val="FFFFFF"/>
                <w:sz w:val="24"/>
              </w:rPr>
              <w:t>Key Operation</w:t>
            </w:r>
          </w:p>
        </w:tc>
      </w:tr>
      <w:tr>
        <w:tc>
          <w:tcPr>
            <w:tcW w:type="dxa" w:w="1872"/>
            <w:shd w:val="clear" w:color="auto" w:fill="F0F4F8"/>
          </w:tcPr>
          <w:p>
            <w:r>
              <w:rPr>
                <w:rFonts w:ascii="Calibri" w:hAnsi="Calibri"/>
                <w:sz w:val="24"/>
              </w:rPr>
              <w:t>1</w:t>
            </w:r>
          </w:p>
        </w:tc>
        <w:tc>
          <w:tcPr>
            <w:tcW w:type="dxa" w:w="1872"/>
            <w:shd w:val="clear" w:color="auto" w:fill="F0F4F8"/>
          </w:tcPr>
          <w:p>
            <w:r>
              <w:rPr>
                <w:rFonts w:ascii="Calibri" w:hAnsi="Calibri"/>
                <w:sz w:val="24"/>
              </w:rPr>
              <w:t>Capture Agent</w:t>
            </w:r>
          </w:p>
        </w:tc>
        <w:tc>
          <w:tcPr>
            <w:tcW w:type="dxa" w:w="1872"/>
            <w:shd w:val="clear" w:color="auto" w:fill="F0F4F8"/>
          </w:tcPr>
          <w:p>
            <w:r>
              <w:rPr>
                <w:rFonts w:ascii="Calibri" w:hAnsi="Calibri"/>
                <w:sz w:val="24"/>
              </w:rPr>
              <w:t>raw_packets (Scapy)</w:t>
            </w:r>
          </w:p>
        </w:tc>
        <w:tc>
          <w:tcPr>
            <w:tcW w:type="dxa" w:w="1872"/>
            <w:shd w:val="clear" w:color="auto" w:fill="F0F4F8"/>
          </w:tcPr>
          <w:p>
            <w:r>
              <w:rPr>
                <w:rFonts w:ascii="Calibri" w:hAnsi="Calibri"/>
                <w:sz w:val="24"/>
              </w:rPr>
              <w:t>feature_vectors</w:t>
            </w:r>
          </w:p>
        </w:tc>
        <w:tc>
          <w:tcPr>
            <w:tcW w:type="dxa" w:w="1872"/>
            <w:shd w:val="clear" w:color="auto" w:fill="F0F4F8"/>
          </w:tcPr>
          <w:p>
            <w:r>
              <w:rPr>
                <w:rFonts w:ascii="Calibri" w:hAnsi="Calibri"/>
                <w:sz w:val="24"/>
              </w:rPr>
              <w:t>Packet sniffing &amp; feature extraction</w:t>
            </w:r>
          </w:p>
        </w:tc>
      </w:tr>
      <w:tr>
        <w:tc>
          <w:tcPr>
            <w:tcW w:type="dxa" w:w="1872"/>
            <w:shd w:val="clear" w:color="auto" w:fill="FFFFFF"/>
          </w:tcPr>
          <w:p>
            <w:r>
              <w:rPr>
                <w:rFonts w:ascii="Calibri" w:hAnsi="Calibri"/>
                <w:sz w:val="24"/>
              </w:rPr>
              <w:t>2</w:t>
            </w:r>
          </w:p>
        </w:tc>
        <w:tc>
          <w:tcPr>
            <w:tcW w:type="dxa" w:w="1872"/>
            <w:shd w:val="clear" w:color="auto" w:fill="FFFFFF"/>
          </w:tcPr>
          <w:p>
            <w:r>
              <w:rPr>
                <w:rFonts w:ascii="Calibri" w:hAnsi="Calibri"/>
                <w:sz w:val="24"/>
              </w:rPr>
              <w:t>Threat Assessment Agent</w:t>
            </w:r>
          </w:p>
        </w:tc>
        <w:tc>
          <w:tcPr>
            <w:tcW w:type="dxa" w:w="1872"/>
            <w:shd w:val="clear" w:color="auto" w:fill="FFFFFF"/>
          </w:tcPr>
          <w:p>
            <w:r>
              <w:rPr>
                <w:rFonts w:ascii="Calibri" w:hAnsi="Calibri"/>
                <w:sz w:val="24"/>
              </w:rPr>
              <w:t>feature_vectors</w:t>
            </w:r>
          </w:p>
        </w:tc>
        <w:tc>
          <w:tcPr>
            <w:tcW w:type="dxa" w:w="1872"/>
            <w:shd w:val="clear" w:color="auto" w:fill="FFFFFF"/>
          </w:tcPr>
          <w:p>
            <w:r>
              <w:rPr>
                <w:rFonts w:ascii="Calibri" w:hAnsi="Calibri"/>
                <w:sz w:val="24"/>
              </w:rPr>
              <w:t>threat_events</w:t>
            </w:r>
          </w:p>
        </w:tc>
        <w:tc>
          <w:tcPr>
            <w:tcW w:type="dxa" w:w="1872"/>
            <w:shd w:val="clear" w:color="auto" w:fill="FFFFFF"/>
          </w:tcPr>
          <w:p>
            <w:r>
              <w:rPr>
                <w:rFonts w:ascii="Calibri" w:hAnsi="Calibri"/>
                <w:sz w:val="24"/>
              </w:rPr>
              <w:t>IDS scoring + Isolation Forest scoring</w:t>
            </w:r>
          </w:p>
        </w:tc>
      </w:tr>
      <w:tr>
        <w:tc>
          <w:tcPr>
            <w:tcW w:type="dxa" w:w="1872"/>
            <w:shd w:val="clear" w:color="auto" w:fill="F0F4F8"/>
          </w:tcPr>
          <w:p>
            <w:r>
              <w:rPr>
                <w:rFonts w:ascii="Calibri" w:hAnsi="Calibri"/>
                <w:sz w:val="24"/>
              </w:rPr>
              <w:t>3</w:t>
            </w:r>
          </w:p>
        </w:tc>
        <w:tc>
          <w:tcPr>
            <w:tcW w:type="dxa" w:w="1872"/>
            <w:shd w:val="clear" w:color="auto" w:fill="F0F4F8"/>
          </w:tcPr>
          <w:p>
            <w:r>
              <w:rPr>
                <w:rFonts w:ascii="Calibri" w:hAnsi="Calibri"/>
                <w:sz w:val="24"/>
              </w:rPr>
              <w:t>Decision Making Agent</w:t>
            </w:r>
          </w:p>
        </w:tc>
        <w:tc>
          <w:tcPr>
            <w:tcW w:type="dxa" w:w="1872"/>
            <w:shd w:val="clear" w:color="auto" w:fill="F0F4F8"/>
          </w:tcPr>
          <w:p>
            <w:r>
              <w:rPr>
                <w:rFonts w:ascii="Calibri" w:hAnsi="Calibri"/>
                <w:sz w:val="24"/>
              </w:rPr>
              <w:t>threat_events</w:t>
            </w:r>
          </w:p>
        </w:tc>
        <w:tc>
          <w:tcPr>
            <w:tcW w:type="dxa" w:w="1872"/>
            <w:shd w:val="clear" w:color="auto" w:fill="F0F4F8"/>
          </w:tcPr>
          <w:p>
            <w:r>
              <w:rPr>
                <w:rFonts w:ascii="Calibri" w:hAnsi="Calibri"/>
                <w:sz w:val="24"/>
              </w:rPr>
              <w:t>enforcement_directives</w:t>
            </w:r>
          </w:p>
        </w:tc>
        <w:tc>
          <w:tcPr>
            <w:tcW w:type="dxa" w:w="1872"/>
            <w:shd w:val="clear" w:color="auto" w:fill="F0F4F8"/>
          </w:tcPr>
          <w:p>
            <w:r>
              <w:rPr>
                <w:rFonts w:ascii="Calibri" w:hAnsi="Calibri"/>
                <w:sz w:val="24"/>
              </w:rPr>
              <w:t>Threshold logic &amp; action selection</w:t>
            </w:r>
          </w:p>
        </w:tc>
      </w:tr>
      <w:tr>
        <w:tc>
          <w:tcPr>
            <w:tcW w:type="dxa" w:w="1872"/>
            <w:shd w:val="clear" w:color="auto" w:fill="FFFFFF"/>
          </w:tcPr>
          <w:p>
            <w:r>
              <w:rPr>
                <w:rFonts w:ascii="Calibri" w:hAnsi="Calibri"/>
                <w:sz w:val="24"/>
              </w:rPr>
              <w:t>4</w:t>
            </w:r>
          </w:p>
        </w:tc>
        <w:tc>
          <w:tcPr>
            <w:tcW w:type="dxa" w:w="1872"/>
            <w:shd w:val="clear" w:color="auto" w:fill="FFFFFF"/>
          </w:tcPr>
          <w:p>
            <w:r>
              <w:rPr>
                <w:rFonts w:ascii="Calibri" w:hAnsi="Calibri"/>
                <w:sz w:val="24"/>
              </w:rPr>
              <w:t>Enforcement Agent</w:t>
            </w:r>
          </w:p>
        </w:tc>
        <w:tc>
          <w:tcPr>
            <w:tcW w:type="dxa" w:w="1872"/>
            <w:shd w:val="clear" w:color="auto" w:fill="FFFFFF"/>
          </w:tcPr>
          <w:p>
            <w:r>
              <w:rPr>
                <w:rFonts w:ascii="Calibri" w:hAnsi="Calibri"/>
                <w:sz w:val="24"/>
              </w:rPr>
              <w:t>enforcement_directives</w:t>
            </w:r>
          </w:p>
        </w:tc>
        <w:tc>
          <w:tcPr>
            <w:tcW w:type="dxa" w:w="1872"/>
            <w:shd w:val="clear" w:color="auto" w:fill="FFFFFF"/>
          </w:tcPr>
          <w:p>
            <w:r>
              <w:rPr>
                <w:rFonts w:ascii="Calibri" w:hAnsi="Calibri"/>
                <w:sz w:val="24"/>
              </w:rPr>
              <w:t>enforcement_results</w:t>
            </w:r>
          </w:p>
        </w:tc>
        <w:tc>
          <w:tcPr>
            <w:tcW w:type="dxa" w:w="1872"/>
            <w:shd w:val="clear" w:color="auto" w:fill="FFFFFF"/>
          </w:tcPr>
          <w:p>
            <w:r>
              <w:rPr>
                <w:rFonts w:ascii="Calibri" w:hAnsi="Calibri"/>
                <w:sz w:val="24"/>
              </w:rPr>
              <w:t>nftables rules + honeypot redirection</w:t>
            </w:r>
          </w:p>
        </w:tc>
      </w:tr>
      <w:tr>
        <w:tc>
          <w:tcPr>
            <w:tcW w:type="dxa" w:w="1872"/>
            <w:shd w:val="clear" w:color="auto" w:fill="F0F4F8"/>
          </w:tcPr>
          <w:p>
            <w:r>
              <w:rPr>
                <w:rFonts w:ascii="Calibri" w:hAnsi="Calibri"/>
                <w:sz w:val="24"/>
              </w:rPr>
              <w:t>5</w:t>
            </w:r>
          </w:p>
        </w:tc>
        <w:tc>
          <w:tcPr>
            <w:tcW w:type="dxa" w:w="1872"/>
            <w:shd w:val="clear" w:color="auto" w:fill="F0F4F8"/>
          </w:tcPr>
          <w:p>
            <w:r>
              <w:rPr>
                <w:rFonts w:ascii="Calibri" w:hAnsi="Calibri"/>
                <w:sz w:val="24"/>
              </w:rPr>
              <w:t>Reporting Agent</w:t>
            </w:r>
          </w:p>
        </w:tc>
        <w:tc>
          <w:tcPr>
            <w:tcW w:type="dxa" w:w="1872"/>
            <w:shd w:val="clear" w:color="auto" w:fill="F0F4F8"/>
          </w:tcPr>
          <w:p>
            <w:r>
              <w:rPr>
                <w:rFonts w:ascii="Calibri" w:hAnsi="Calibri"/>
                <w:sz w:val="24"/>
              </w:rPr>
              <w:t>all channels</w:t>
            </w:r>
          </w:p>
        </w:tc>
        <w:tc>
          <w:tcPr>
            <w:tcW w:type="dxa" w:w="1872"/>
            <w:shd w:val="clear" w:color="auto" w:fill="F0F4F8"/>
          </w:tcPr>
          <w:p>
            <w:r>
              <w:rPr>
                <w:rFonts w:ascii="Calibri" w:hAnsi="Calibri"/>
                <w:sz w:val="24"/>
              </w:rPr>
              <w:t>WebSocket + DB</w:t>
            </w:r>
          </w:p>
        </w:tc>
        <w:tc>
          <w:tcPr>
            <w:tcW w:type="dxa" w:w="1872"/>
            <w:shd w:val="clear" w:color="auto" w:fill="F0F4F8"/>
          </w:tcPr>
          <w:p>
            <w:r>
              <w:rPr>
                <w:rFonts w:ascii="Calibri" w:hAnsi="Calibri"/>
                <w:sz w:val="24"/>
              </w:rPr>
              <w:t>Dashboard broadcast &amp; logging</w:t>
            </w:r>
          </w:p>
        </w:tc>
      </w:tr>
    </w:tbl>
    <w:p>
      <w:pPr>
        <w:spacing w:before="0" w:after="120" w:line="360" w:lineRule="auto"/>
        <w:jc w:val="center"/>
      </w:pPr>
      <w:r>
        <w:rPr>
          <w:rFonts w:ascii="Calibri" w:hAnsi="Calibri"/>
          <w:b w:val="0"/>
          <w:i/>
          <w:sz w:val="24"/>
        </w:rPr>
        <w:t>Table 3.1: Agent processing stage definitions and communication channels.</w:t>
      </w:r>
    </w:p>
    <w:p>
      <w:pPr>
        <w:spacing w:before="240" w:after="120" w:line="360" w:lineRule="auto"/>
      </w:pPr>
      <w:r>
        <w:rPr>
          <w:rFonts w:ascii="Calibri" w:hAnsi="Calibri"/>
          <w:b/>
          <w:i w:val="0"/>
          <w:sz w:val="26"/>
        </w:rPr>
        <w:t>3.3 Asynchronous Event Bus Architecture</w:t>
      </w:r>
    </w:p>
    <w:p>
      <w:pPr>
        <w:spacing w:before="0" w:after="120" w:line="360" w:lineRule="auto"/>
        <w:jc w:val="both"/>
      </w:pPr>
      <w:r>
        <w:rPr>
          <w:rFonts w:ascii="Calibri" w:hAnsi="Calibri"/>
          <w:b w:val="0"/>
          <w:i w:val="0"/>
          <w:sz w:val="24"/>
        </w:rPr>
        <w:t>Redis Pub/Sub was chosen as the inter-agent communication mechanism for three reasons. First, Redis's in-memory data store delivers publish-to-subscribe latency of under 1 millisecond in local deployments, which is essential for maintaining the sub-second total pipeline latency target. Second, Redis is natively supported within Docker and adds negligible memory overhead at the traffic volumes NTTH targets. Third, the Pub/Sub model naturally supports the many-to-many broadcast topology required for the Reporting Agent, which needs to subscribe to all channels simultaneously.</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Pr>
          <w:p>
            <w:pPr>
              <w:jc w:val="left"/>
            </w:pPr>
            <w:r>
              <w:rPr>
                <w:rFonts w:ascii="Calibri" w:hAnsi="Calibri"/>
                <w:b/>
                <w:color w:val="FFFFFF"/>
                <w:sz w:val="24"/>
              </w:rPr>
              <w:t>Channel Name</w:t>
            </w:r>
          </w:p>
        </w:tc>
        <w:tc>
          <w:tcPr>
            <w:tcW w:type="dxa" w:w="2340"/>
            <w:shd w:val="clear" w:color="auto" w:fill="1B3A5C"/>
          </w:tcPr>
          <w:p>
            <w:pPr>
              <w:jc w:val="left"/>
            </w:pPr>
            <w:r>
              <w:rPr>
                <w:rFonts w:ascii="Calibri" w:hAnsi="Calibri"/>
                <w:b/>
                <w:color w:val="FFFFFF"/>
                <w:sz w:val="24"/>
              </w:rPr>
              <w:t>Publisher</w:t>
            </w:r>
          </w:p>
        </w:tc>
        <w:tc>
          <w:tcPr>
            <w:tcW w:type="dxa" w:w="2340"/>
            <w:shd w:val="clear" w:color="auto" w:fill="1B3A5C"/>
          </w:tcPr>
          <w:p>
            <w:pPr>
              <w:jc w:val="left"/>
            </w:pPr>
            <w:r>
              <w:rPr>
                <w:rFonts w:ascii="Calibri" w:hAnsi="Calibri"/>
                <w:b/>
                <w:color w:val="FFFFFF"/>
                <w:sz w:val="24"/>
              </w:rPr>
              <w:t>Subscribers</w:t>
            </w:r>
          </w:p>
        </w:tc>
        <w:tc>
          <w:tcPr>
            <w:tcW w:type="dxa" w:w="2340"/>
            <w:shd w:val="clear" w:color="auto" w:fill="1B3A5C"/>
          </w:tcPr>
          <w:p>
            <w:pPr>
              <w:jc w:val="left"/>
            </w:pPr>
            <w:r>
              <w:rPr>
                <w:rFonts w:ascii="Calibri" w:hAnsi="Calibri"/>
                <w:b/>
                <w:color w:val="FFFFFF"/>
                <w:sz w:val="24"/>
              </w:rPr>
              <w:t>Message Rate</w:t>
            </w:r>
          </w:p>
        </w:tc>
      </w:tr>
      <w:tr>
        <w:tc>
          <w:tcPr>
            <w:tcW w:type="dxa" w:w="2340"/>
            <w:shd w:val="clear" w:color="auto" w:fill="F0F4F8"/>
          </w:tcPr>
          <w:p>
            <w:r>
              <w:rPr>
                <w:rFonts w:ascii="Calibri" w:hAnsi="Calibri"/>
                <w:sz w:val="24"/>
              </w:rPr>
              <w:t>ntth:features</w:t>
            </w:r>
          </w:p>
        </w:tc>
        <w:tc>
          <w:tcPr>
            <w:tcW w:type="dxa" w:w="2340"/>
            <w:shd w:val="clear" w:color="auto" w:fill="F0F4F8"/>
          </w:tcPr>
          <w:p>
            <w:r>
              <w:rPr>
                <w:rFonts w:ascii="Calibri" w:hAnsi="Calibri"/>
                <w:sz w:val="24"/>
              </w:rPr>
              <w:t>Capture Agent</w:t>
            </w:r>
          </w:p>
        </w:tc>
        <w:tc>
          <w:tcPr>
            <w:tcW w:type="dxa" w:w="2340"/>
            <w:shd w:val="clear" w:color="auto" w:fill="F0F4F8"/>
          </w:tcPr>
          <w:p>
            <w:r>
              <w:rPr>
                <w:rFonts w:ascii="Calibri" w:hAnsi="Calibri"/>
                <w:sz w:val="24"/>
              </w:rPr>
              <w:t>Threat Assessment Agent, Reporting Agent</w:t>
            </w:r>
          </w:p>
        </w:tc>
        <w:tc>
          <w:tcPr>
            <w:tcW w:type="dxa" w:w="2340"/>
            <w:shd w:val="clear" w:color="auto" w:fill="F0F4F8"/>
          </w:tcPr>
          <w:p>
            <w:r>
              <w:rPr>
                <w:rFonts w:ascii="Calibri" w:hAnsi="Calibri"/>
                <w:sz w:val="24"/>
              </w:rPr>
              <w:t>~50–200 /sec per active flow</w:t>
            </w:r>
          </w:p>
        </w:tc>
      </w:tr>
      <w:tr>
        <w:tc>
          <w:tcPr>
            <w:tcW w:type="dxa" w:w="2340"/>
            <w:shd w:val="clear" w:color="auto" w:fill="FFFFFF"/>
          </w:tcPr>
          <w:p>
            <w:r>
              <w:rPr>
                <w:rFonts w:ascii="Calibri" w:hAnsi="Calibri"/>
                <w:sz w:val="24"/>
              </w:rPr>
              <w:t>ntth:threats</w:t>
            </w:r>
          </w:p>
        </w:tc>
        <w:tc>
          <w:tcPr>
            <w:tcW w:type="dxa" w:w="2340"/>
            <w:shd w:val="clear" w:color="auto" w:fill="FFFFFF"/>
          </w:tcPr>
          <w:p>
            <w:r>
              <w:rPr>
                <w:rFonts w:ascii="Calibri" w:hAnsi="Calibri"/>
                <w:sz w:val="24"/>
              </w:rPr>
              <w:t>Threat Assessment Agent</w:t>
            </w:r>
          </w:p>
        </w:tc>
        <w:tc>
          <w:tcPr>
            <w:tcW w:type="dxa" w:w="2340"/>
            <w:shd w:val="clear" w:color="auto" w:fill="FFFFFF"/>
          </w:tcPr>
          <w:p>
            <w:r>
              <w:rPr>
                <w:rFonts w:ascii="Calibri" w:hAnsi="Calibri"/>
                <w:sz w:val="24"/>
              </w:rPr>
              <w:t>Decision Agent, Reporting Agent</w:t>
            </w:r>
          </w:p>
        </w:tc>
        <w:tc>
          <w:tcPr>
            <w:tcW w:type="dxa" w:w="2340"/>
            <w:shd w:val="clear" w:color="auto" w:fill="FFFFFF"/>
          </w:tcPr>
          <w:p>
            <w:r>
              <w:rPr>
                <w:rFonts w:ascii="Calibri" w:hAnsi="Calibri"/>
                <w:sz w:val="24"/>
              </w:rPr>
              <w:t>Only on scored events</w:t>
            </w:r>
          </w:p>
        </w:tc>
      </w:tr>
      <w:tr>
        <w:tc>
          <w:tcPr>
            <w:tcW w:type="dxa" w:w="2340"/>
            <w:shd w:val="clear" w:color="auto" w:fill="F0F4F8"/>
          </w:tcPr>
          <w:p>
            <w:r>
              <w:rPr>
                <w:rFonts w:ascii="Calibri" w:hAnsi="Calibri"/>
                <w:sz w:val="24"/>
              </w:rPr>
              <w:t>ntth:directives</w:t>
            </w:r>
          </w:p>
        </w:tc>
        <w:tc>
          <w:tcPr>
            <w:tcW w:type="dxa" w:w="2340"/>
            <w:shd w:val="clear" w:color="auto" w:fill="F0F4F8"/>
          </w:tcPr>
          <w:p>
            <w:r>
              <w:rPr>
                <w:rFonts w:ascii="Calibri" w:hAnsi="Calibri"/>
                <w:sz w:val="24"/>
              </w:rPr>
              <w:t>Decision Agent</w:t>
            </w:r>
          </w:p>
        </w:tc>
        <w:tc>
          <w:tcPr>
            <w:tcW w:type="dxa" w:w="2340"/>
            <w:shd w:val="clear" w:color="auto" w:fill="F0F4F8"/>
          </w:tcPr>
          <w:p>
            <w:r>
              <w:rPr>
                <w:rFonts w:ascii="Calibri" w:hAnsi="Calibri"/>
                <w:sz w:val="24"/>
              </w:rPr>
              <w:t>Enforcement Agent, Reporting Agent</w:t>
            </w:r>
          </w:p>
        </w:tc>
        <w:tc>
          <w:tcPr>
            <w:tcW w:type="dxa" w:w="2340"/>
            <w:shd w:val="clear" w:color="auto" w:fill="F0F4F8"/>
          </w:tcPr>
          <w:p>
            <w:r>
              <w:rPr>
                <w:rFonts w:ascii="Calibri" w:hAnsi="Calibri"/>
                <w:sz w:val="24"/>
              </w:rPr>
              <w:t>Only on threshold crossings</w:t>
            </w:r>
          </w:p>
        </w:tc>
      </w:tr>
      <w:tr>
        <w:tc>
          <w:tcPr>
            <w:tcW w:type="dxa" w:w="2340"/>
            <w:shd w:val="clear" w:color="auto" w:fill="FFFFFF"/>
          </w:tcPr>
          <w:p>
            <w:r>
              <w:rPr>
                <w:rFonts w:ascii="Calibri" w:hAnsi="Calibri"/>
                <w:sz w:val="24"/>
              </w:rPr>
              <w:t>ntth:results</w:t>
            </w:r>
          </w:p>
        </w:tc>
        <w:tc>
          <w:tcPr>
            <w:tcW w:type="dxa" w:w="2340"/>
            <w:shd w:val="clear" w:color="auto" w:fill="FFFFFF"/>
          </w:tcPr>
          <w:p>
            <w:r>
              <w:rPr>
                <w:rFonts w:ascii="Calibri" w:hAnsi="Calibri"/>
                <w:sz w:val="24"/>
              </w:rPr>
              <w:t>Enforcement Agent</w:t>
            </w:r>
          </w:p>
        </w:tc>
        <w:tc>
          <w:tcPr>
            <w:tcW w:type="dxa" w:w="2340"/>
            <w:shd w:val="clear" w:color="auto" w:fill="FFFFFF"/>
          </w:tcPr>
          <w:p>
            <w:r>
              <w:rPr>
                <w:rFonts w:ascii="Calibri" w:hAnsi="Calibri"/>
                <w:sz w:val="24"/>
              </w:rPr>
              <w:t>Reporting Agent</w:t>
            </w:r>
          </w:p>
        </w:tc>
        <w:tc>
          <w:tcPr>
            <w:tcW w:type="dxa" w:w="2340"/>
            <w:shd w:val="clear" w:color="auto" w:fill="FFFFFF"/>
          </w:tcPr>
          <w:p>
            <w:r>
              <w:rPr>
                <w:rFonts w:ascii="Calibri" w:hAnsi="Calibri"/>
                <w:sz w:val="24"/>
              </w:rPr>
              <w:t>Post-enforcement confirmation</w:t>
            </w:r>
          </w:p>
        </w:tc>
      </w:tr>
      <w:tr>
        <w:tc>
          <w:tcPr>
            <w:tcW w:type="dxa" w:w="2340"/>
            <w:shd w:val="clear" w:color="auto" w:fill="F0F4F8"/>
          </w:tcPr>
          <w:p>
            <w:r>
              <w:rPr>
                <w:rFonts w:ascii="Calibri" w:hAnsi="Calibri"/>
                <w:sz w:val="24"/>
              </w:rPr>
              <w:t>ntth:dashboard</w:t>
            </w:r>
          </w:p>
        </w:tc>
        <w:tc>
          <w:tcPr>
            <w:tcW w:type="dxa" w:w="2340"/>
            <w:shd w:val="clear" w:color="auto" w:fill="F0F4F8"/>
          </w:tcPr>
          <w:p>
            <w:r>
              <w:rPr>
                <w:rFonts w:ascii="Calibri" w:hAnsi="Calibri"/>
                <w:sz w:val="24"/>
              </w:rPr>
              <w:t>Reporting Agent</w:t>
            </w:r>
          </w:p>
        </w:tc>
        <w:tc>
          <w:tcPr>
            <w:tcW w:type="dxa" w:w="2340"/>
            <w:shd w:val="clear" w:color="auto" w:fill="F0F4F8"/>
          </w:tcPr>
          <w:p>
            <w:r>
              <w:rPr>
                <w:rFonts w:ascii="Calibri" w:hAnsi="Calibri"/>
                <w:sz w:val="24"/>
              </w:rPr>
              <w:t>Flutter clients (via WebSocket)</w:t>
            </w:r>
          </w:p>
        </w:tc>
        <w:tc>
          <w:tcPr>
            <w:tcW w:type="dxa" w:w="2340"/>
            <w:shd w:val="clear" w:color="auto" w:fill="F0F4F8"/>
          </w:tcPr>
          <w:p>
            <w:r>
              <w:rPr>
                <w:rFonts w:ascii="Calibri" w:hAnsi="Calibri"/>
                <w:sz w:val="24"/>
              </w:rPr>
              <w:t>~1/sec topology; on-event otherwise</w:t>
            </w:r>
          </w:p>
        </w:tc>
      </w:tr>
    </w:tbl>
    <w:p>
      <w:pPr>
        <w:spacing w:before="0" w:after="120" w:line="360" w:lineRule="auto"/>
        <w:jc w:val="center"/>
      </w:pPr>
      <w:r>
        <w:rPr>
          <w:rFonts w:ascii="Calibri" w:hAnsi="Calibri"/>
          <w:b w:val="0"/>
          <w:i/>
          <w:sz w:val="24"/>
        </w:rPr>
        <w:t>Table 3.2: Redis Pub/Sub event bus channel topology and message rates.</w:t>
      </w:r>
    </w:p>
    <w:p>
      <w:pPr>
        <w:spacing w:before="240" w:after="120" w:line="360" w:lineRule="auto"/>
      </w:pPr>
      <w:r>
        <w:rPr>
          <w:rFonts w:ascii="Calibri" w:hAnsi="Calibri"/>
          <w:b/>
          <w:i w:val="0"/>
          <w:sz w:val="26"/>
        </w:rPr>
        <w:t>3.4 Hybrid Risk Scoring Model</w:t>
      </w:r>
    </w:p>
    <w:p>
      <w:pPr>
        <w:spacing w:before="0" w:after="120" w:line="360" w:lineRule="auto"/>
        <w:jc w:val="both"/>
      </w:pPr>
      <w:r>
        <w:rPr>
          <w:rFonts w:ascii="Calibri" w:hAnsi="Calibri"/>
          <w:b w:val="0"/>
          <w:i w:val="0"/>
          <w:sz w:val="24"/>
        </w:rPr>
        <w:t>The hybrid risk scoring model is the analytical core of NTTH. It combines two heterogeneous detection signals — a categorical score from the signature-based IDS rule engine and a continuous anomaly score from the Isolation Forest detector — into a single composite risk score that drives the Decision Agent's threshold logic.</w:t>
      </w:r>
    </w:p>
    <w:p>
      <w:pPr>
        <w:spacing w:before="160" w:after="160"/>
        <w:jc w:val="center"/>
      </w:pPr>
      <w:r>
        <w:rPr>
          <w:rFonts w:ascii="Calibri" w:hAnsi="Calibri"/>
          <w:b/>
          <w:i w:val="0"/>
          <w:sz w:val="26"/>
        </w:rPr>
        <w:t>Risk Score = 0.6 × IDS_Score + 0.4 × Anomaly_Score</w:t>
      </w:r>
    </w:p>
    <w:p>
      <w:pPr>
        <w:spacing w:before="0" w:after="120" w:line="360" w:lineRule="auto"/>
        <w:jc w:val="both"/>
      </w:pPr>
      <w:r>
        <w:rPr>
          <w:rFonts w:ascii="Calibri" w:hAnsi="Calibri"/>
          <w:b w:val="0"/>
          <w:i w:val="0"/>
          <w:sz w:val="24"/>
        </w:rPr>
        <w:t>The IDS_Score is a normalized value in [0, 1] derived from the severity of the highest matching IDS rule (critical = 1.0, high = 0.75, medium = 0.5, low = 0.25, no match = 0.0). Anomaly_Score is the Isolation Forest anomaly score transformed to [0, 1] using a sigmoid normalization. The weights 0.6 and 0.4 were determined through grid search on a held-out subset of the CICIDS-2017 dataset, optimizing for F1 score across all attack categories.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Pr>
          <w:p>
            <w:pPr>
              <w:jc w:val="left"/>
            </w:pPr>
            <w:r>
              <w:rPr>
                <w:rFonts w:ascii="Calibri" w:hAnsi="Calibri"/>
                <w:b/>
                <w:color w:val="FFFFFF"/>
                <w:sz w:val="24"/>
              </w:rPr>
              <w:t>Feature</w:t>
            </w:r>
          </w:p>
        </w:tc>
        <w:tc>
          <w:tcPr>
            <w:tcW w:type="dxa" w:w="3120"/>
            <w:shd w:val="clear" w:color="auto" w:fill="1B3A5C"/>
          </w:tcPr>
          <w:p>
            <w:pPr>
              <w:jc w:val="left"/>
            </w:pPr>
            <w:r>
              <w:rPr>
                <w:rFonts w:ascii="Calibri" w:hAnsi="Calibri"/>
                <w:b/>
                <w:color w:val="FFFFFF"/>
                <w:sz w:val="24"/>
              </w:rPr>
              <w:t>Description</w:t>
            </w:r>
          </w:p>
        </w:tc>
        <w:tc>
          <w:tcPr>
            <w:tcW w:type="dxa" w:w="3120"/>
            <w:shd w:val="clear" w:color="auto" w:fill="1B3A5C"/>
          </w:tcPr>
          <w:p>
            <w:pPr>
              <w:jc w:val="left"/>
            </w:pPr>
            <w:r>
              <w:rPr>
                <w:rFonts w:ascii="Calibri" w:hAnsi="Calibri"/>
                <w:b/>
                <w:color w:val="FFFFFF"/>
                <w:sz w:val="24"/>
              </w:rPr>
              <w:t>Normal Range</w:t>
            </w:r>
          </w:p>
        </w:tc>
      </w:tr>
      <w:tr>
        <w:tc>
          <w:tcPr>
            <w:tcW w:type="dxa" w:w="3120"/>
            <w:shd w:val="clear" w:color="auto" w:fill="F0F4F8"/>
          </w:tcPr>
          <w:p>
            <w:r>
              <w:rPr>
                <w:rFonts w:ascii="Calibri" w:hAnsi="Calibri"/>
                <w:sz w:val="24"/>
              </w:rPr>
              <w:t>pkt_rate</w:t>
            </w:r>
          </w:p>
        </w:tc>
        <w:tc>
          <w:tcPr>
            <w:tcW w:type="dxa" w:w="3120"/>
            <w:shd w:val="clear" w:color="auto" w:fill="F0F4F8"/>
          </w:tcPr>
          <w:p>
            <w:r>
              <w:rPr>
                <w:rFonts w:ascii="Calibri" w:hAnsi="Calibri"/>
                <w:sz w:val="24"/>
              </w:rPr>
              <w:t>Packets per second from source IP</w:t>
            </w:r>
          </w:p>
        </w:tc>
        <w:tc>
          <w:tcPr>
            <w:tcW w:type="dxa" w:w="3120"/>
            <w:shd w:val="clear" w:color="auto" w:fill="F0F4F8"/>
          </w:tcPr>
          <w:p>
            <w:r>
              <w:rPr>
                <w:rFonts w:ascii="Calibri" w:hAnsi="Calibri"/>
                <w:sz w:val="24"/>
              </w:rPr>
              <w:t>0.1–50 pps</w:t>
            </w:r>
          </w:p>
        </w:tc>
      </w:tr>
      <w:tr>
        <w:tc>
          <w:tcPr>
            <w:tcW w:type="dxa" w:w="3120"/>
            <w:shd w:val="clear" w:color="auto" w:fill="FFFFFF"/>
          </w:tcPr>
          <w:p>
            <w:r>
              <w:rPr>
                <w:rFonts w:ascii="Calibri" w:hAnsi="Calibri"/>
                <w:sz w:val="24"/>
              </w:rPr>
              <w:t>byte_rate</w:t>
            </w:r>
          </w:p>
        </w:tc>
        <w:tc>
          <w:tcPr>
            <w:tcW w:type="dxa" w:w="3120"/>
            <w:shd w:val="clear" w:color="auto" w:fill="FFFFFF"/>
          </w:tcPr>
          <w:p>
            <w:r>
              <w:rPr>
                <w:rFonts w:ascii="Calibri" w:hAnsi="Calibri"/>
                <w:sz w:val="24"/>
              </w:rPr>
              <w:t>Bytes per second from source IP</w:t>
            </w:r>
          </w:p>
        </w:tc>
        <w:tc>
          <w:tcPr>
            <w:tcW w:type="dxa" w:w="3120"/>
            <w:shd w:val="clear" w:color="auto" w:fill="FFFFFF"/>
          </w:tcPr>
          <w:p>
            <w:r>
              <w:rPr>
                <w:rFonts w:ascii="Calibri" w:hAnsi="Calibri"/>
                <w:sz w:val="24"/>
              </w:rPr>
              <w:t>100–500k B/s</w:t>
            </w:r>
          </w:p>
        </w:tc>
      </w:tr>
      <w:tr>
        <w:tc>
          <w:tcPr>
            <w:tcW w:type="dxa" w:w="3120"/>
            <w:shd w:val="clear" w:color="auto" w:fill="F0F4F8"/>
          </w:tcPr>
          <w:p>
            <w:r>
              <w:rPr>
                <w:rFonts w:ascii="Calibri" w:hAnsi="Calibri"/>
                <w:sz w:val="24"/>
              </w:rPr>
              <w:t>dst_port_entropy</w:t>
            </w:r>
          </w:p>
        </w:tc>
        <w:tc>
          <w:tcPr>
            <w:tcW w:type="dxa" w:w="3120"/>
            <w:shd w:val="clear" w:color="auto" w:fill="F0F4F8"/>
          </w:tcPr>
          <w:p>
            <w:r>
              <w:rPr>
                <w:rFonts w:ascii="Calibri" w:hAnsi="Calibri"/>
                <w:sz w:val="24"/>
              </w:rPr>
              <w:t>Shannon entropy of destination ports</w:t>
            </w:r>
          </w:p>
        </w:tc>
        <w:tc>
          <w:tcPr>
            <w:tcW w:type="dxa" w:w="3120"/>
            <w:shd w:val="clear" w:color="auto" w:fill="F0F4F8"/>
          </w:tcPr>
          <w:p>
            <w:r>
              <w:rPr>
                <w:rFonts w:ascii="Calibri" w:hAnsi="Calibri"/>
                <w:sz w:val="24"/>
              </w:rPr>
              <w:t>1.5–3.5 bits</w:t>
            </w:r>
          </w:p>
        </w:tc>
      </w:tr>
      <w:tr>
        <w:tc>
          <w:tcPr>
            <w:tcW w:type="dxa" w:w="3120"/>
            <w:shd w:val="clear" w:color="auto" w:fill="FFFFFF"/>
          </w:tcPr>
          <w:p>
            <w:r>
              <w:rPr>
                <w:rFonts w:ascii="Calibri" w:hAnsi="Calibri"/>
                <w:sz w:val="24"/>
              </w:rPr>
              <w:t>syn_ratio</w:t>
            </w:r>
          </w:p>
        </w:tc>
        <w:tc>
          <w:tcPr>
            <w:tcW w:type="dxa" w:w="3120"/>
            <w:shd w:val="clear" w:color="auto" w:fill="FFFFFF"/>
          </w:tcPr>
          <w:p>
            <w:r>
              <w:rPr>
                <w:rFonts w:ascii="Calibri" w:hAnsi="Calibri"/>
                <w:sz w:val="24"/>
              </w:rPr>
              <w:t>Fraction of TCP packets with SYN flag</w:t>
            </w:r>
          </w:p>
        </w:tc>
        <w:tc>
          <w:tcPr>
            <w:tcW w:type="dxa" w:w="3120"/>
            <w:shd w:val="clear" w:color="auto" w:fill="FFFFFF"/>
          </w:tcPr>
          <w:p>
            <w:r>
              <w:rPr>
                <w:rFonts w:ascii="Calibri" w:hAnsi="Calibri"/>
                <w:sz w:val="24"/>
              </w:rPr>
              <w:t>0.05–0.25</w:t>
            </w:r>
          </w:p>
        </w:tc>
      </w:tr>
      <w:tr>
        <w:tc>
          <w:tcPr>
            <w:tcW w:type="dxa" w:w="3120"/>
            <w:shd w:val="clear" w:color="auto" w:fill="F0F4F8"/>
          </w:tcPr>
          <w:p>
            <w:r>
              <w:rPr>
                <w:rFonts w:ascii="Calibri" w:hAnsi="Calibri"/>
                <w:sz w:val="24"/>
              </w:rPr>
              <w:t>ack_ratio</w:t>
            </w:r>
          </w:p>
        </w:tc>
        <w:tc>
          <w:tcPr>
            <w:tcW w:type="dxa" w:w="3120"/>
            <w:shd w:val="clear" w:color="auto" w:fill="F0F4F8"/>
          </w:tcPr>
          <w:p>
            <w:r>
              <w:rPr>
                <w:rFonts w:ascii="Calibri" w:hAnsi="Calibri"/>
                <w:sz w:val="24"/>
              </w:rPr>
              <w:t>Fraction of TCP packets with ACK flag</w:t>
            </w:r>
          </w:p>
        </w:tc>
        <w:tc>
          <w:tcPr>
            <w:tcW w:type="dxa" w:w="3120"/>
            <w:shd w:val="clear" w:color="auto" w:fill="F0F4F8"/>
          </w:tcPr>
          <w:p>
            <w:r>
              <w:rPr>
                <w:rFonts w:ascii="Calibri" w:hAnsi="Calibri"/>
                <w:sz w:val="24"/>
              </w:rPr>
              <w:t>0.5–0.9</w:t>
            </w:r>
          </w:p>
        </w:tc>
      </w:tr>
      <w:tr>
        <w:tc>
          <w:tcPr>
            <w:tcW w:type="dxa" w:w="3120"/>
            <w:shd w:val="clear" w:color="auto" w:fill="FFFFFF"/>
          </w:tcPr>
          <w:p>
            <w:r>
              <w:rPr>
                <w:rFonts w:ascii="Calibri" w:hAnsi="Calibri"/>
                <w:sz w:val="24"/>
              </w:rPr>
              <w:t>icmp_rate</w:t>
            </w:r>
          </w:p>
        </w:tc>
        <w:tc>
          <w:tcPr>
            <w:tcW w:type="dxa" w:w="3120"/>
            <w:shd w:val="clear" w:color="auto" w:fill="FFFFFF"/>
          </w:tcPr>
          <w:p>
            <w:r>
              <w:rPr>
                <w:rFonts w:ascii="Calibri" w:hAnsi="Calibri"/>
                <w:sz w:val="24"/>
              </w:rPr>
              <w:t>ICMP packets per second</w:t>
            </w:r>
          </w:p>
        </w:tc>
        <w:tc>
          <w:tcPr>
            <w:tcW w:type="dxa" w:w="3120"/>
            <w:shd w:val="clear" w:color="auto" w:fill="FFFFFF"/>
          </w:tcPr>
          <w:p>
            <w:r>
              <w:rPr>
                <w:rFonts w:ascii="Calibri" w:hAnsi="Calibri"/>
                <w:sz w:val="24"/>
              </w:rPr>
              <w:t>0–2 pps</w:t>
            </w:r>
          </w:p>
        </w:tc>
      </w:tr>
      <w:tr>
        <w:tc>
          <w:tcPr>
            <w:tcW w:type="dxa" w:w="3120"/>
            <w:shd w:val="clear" w:color="auto" w:fill="F0F4F8"/>
          </w:tcPr>
          <w:p>
            <w:r>
              <w:rPr>
                <w:rFonts w:ascii="Calibri" w:hAnsi="Calibri"/>
                <w:sz w:val="24"/>
              </w:rPr>
              <w:t>unique_dst_ips</w:t>
            </w:r>
          </w:p>
        </w:tc>
        <w:tc>
          <w:tcPr>
            <w:tcW w:type="dxa" w:w="3120"/>
            <w:shd w:val="clear" w:color="auto" w:fill="F0F4F8"/>
          </w:tcPr>
          <w:p>
            <w:r>
              <w:rPr>
                <w:rFonts w:ascii="Calibri" w:hAnsi="Calibri"/>
                <w:sz w:val="24"/>
              </w:rPr>
              <w:t>Unique destination IPs per window</w:t>
            </w:r>
          </w:p>
        </w:tc>
        <w:tc>
          <w:tcPr>
            <w:tcW w:type="dxa" w:w="3120"/>
            <w:shd w:val="clear" w:color="auto" w:fill="F0F4F8"/>
          </w:tcPr>
          <w:p>
            <w:r>
              <w:rPr>
                <w:rFonts w:ascii="Calibri" w:hAnsi="Calibri"/>
                <w:sz w:val="24"/>
              </w:rPr>
              <w:t>1–10</w:t>
            </w:r>
          </w:p>
        </w:tc>
      </w:tr>
      <w:tr>
        <w:tc>
          <w:tcPr>
            <w:tcW w:type="dxa" w:w="3120"/>
            <w:shd w:val="clear" w:color="auto" w:fill="FFFFFF"/>
          </w:tcPr>
          <w:p>
            <w:r>
              <w:rPr>
                <w:rFonts w:ascii="Calibri" w:hAnsi="Calibri"/>
                <w:sz w:val="24"/>
              </w:rPr>
              <w:t>unique_dst_ports</w:t>
            </w:r>
          </w:p>
        </w:tc>
        <w:tc>
          <w:tcPr>
            <w:tcW w:type="dxa" w:w="3120"/>
            <w:shd w:val="clear" w:color="auto" w:fill="FFFFFF"/>
          </w:tcPr>
          <w:p>
            <w:r>
              <w:rPr>
                <w:rFonts w:ascii="Calibri" w:hAnsi="Calibri"/>
                <w:sz w:val="24"/>
              </w:rPr>
              <w:t>Unique destination ports per window</w:t>
            </w:r>
          </w:p>
        </w:tc>
        <w:tc>
          <w:tcPr>
            <w:tcW w:type="dxa" w:w="3120"/>
            <w:shd w:val="clear" w:color="auto" w:fill="FFFFFF"/>
          </w:tcPr>
          <w:p>
            <w:r>
              <w:rPr>
                <w:rFonts w:ascii="Calibri" w:hAnsi="Calibri"/>
                <w:sz w:val="24"/>
              </w:rPr>
              <w:t>1–8</w:t>
            </w:r>
          </w:p>
        </w:tc>
      </w:tr>
      <w:tr>
        <w:tc>
          <w:tcPr>
            <w:tcW w:type="dxa" w:w="3120"/>
            <w:shd w:val="clear" w:color="auto" w:fill="F0F4F8"/>
          </w:tcPr>
          <w:p>
            <w:r>
              <w:rPr>
                <w:rFonts w:ascii="Calibri" w:hAnsi="Calibri"/>
                <w:sz w:val="24"/>
              </w:rPr>
              <w:t>flow_duration_mean</w:t>
            </w:r>
          </w:p>
        </w:tc>
        <w:tc>
          <w:tcPr>
            <w:tcW w:type="dxa" w:w="3120"/>
            <w:shd w:val="clear" w:color="auto" w:fill="F0F4F8"/>
          </w:tcPr>
          <w:p>
            <w:r>
              <w:rPr>
                <w:rFonts w:ascii="Calibri" w:hAnsi="Calibri"/>
                <w:sz w:val="24"/>
              </w:rPr>
              <w:t>Mean duration of active flows (seconds)</w:t>
            </w:r>
          </w:p>
        </w:tc>
        <w:tc>
          <w:tcPr>
            <w:tcW w:type="dxa" w:w="3120"/>
            <w:shd w:val="clear" w:color="auto" w:fill="F0F4F8"/>
          </w:tcPr>
          <w:p>
            <w:r>
              <w:rPr>
                <w:rFonts w:ascii="Calibri" w:hAnsi="Calibri"/>
                <w:sz w:val="24"/>
              </w:rPr>
              <w:t>0.5–30s</w:t>
            </w:r>
          </w:p>
        </w:tc>
      </w:tr>
      <w:tr>
        <w:tc>
          <w:tcPr>
            <w:tcW w:type="dxa" w:w="3120"/>
            <w:shd w:val="clear" w:color="auto" w:fill="FFFFFF"/>
          </w:tcPr>
          <w:p>
            <w:r>
              <w:rPr>
                <w:rFonts w:ascii="Calibri" w:hAnsi="Calibri"/>
                <w:sz w:val="24"/>
              </w:rPr>
              <w:t>payload_size_std</w:t>
            </w:r>
          </w:p>
        </w:tc>
        <w:tc>
          <w:tcPr>
            <w:tcW w:type="dxa" w:w="3120"/>
            <w:shd w:val="clear" w:color="auto" w:fill="FFFFFF"/>
          </w:tcPr>
          <w:p>
            <w:r>
              <w:rPr>
                <w:rFonts w:ascii="Calibri" w:hAnsi="Calibri"/>
                <w:sz w:val="24"/>
              </w:rPr>
              <w:t>Std deviation of payload sizes in window</w:t>
            </w:r>
          </w:p>
        </w:tc>
        <w:tc>
          <w:tcPr>
            <w:tcW w:type="dxa" w:w="3120"/>
            <w:shd w:val="clear" w:color="auto" w:fill="FFFFFF"/>
          </w:tcPr>
          <w:p>
            <w:r>
              <w:rPr>
                <w:rFonts w:ascii="Calibri" w:hAnsi="Calibri"/>
                <w:sz w:val="24"/>
              </w:rPr>
              <w:t>50–800 bytes</w:t>
            </w:r>
          </w:p>
        </w:tc>
      </w:tr>
    </w:tbl>
    <w:p>
      <w:pPr>
        <w:spacing w:before="0" w:after="120" w:line="360" w:lineRule="auto"/>
        <w:jc w:val="center"/>
      </w:pPr>
      <w:r>
        <w:rPr>
          <w:rFonts w:ascii="Calibri" w:hAnsi="Calibri"/>
          <w:b w:val="0"/>
          <w:i/>
          <w:sz w:val="24"/>
        </w:rPr>
        <w:t>Table 3.3: Feature vector description used by the Isolation Forest anomaly detector.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Pr>
          <w:p>
            <w:pPr>
              <w:jc w:val="left"/>
            </w:pPr>
            <w:r>
              <w:rPr>
                <w:rFonts w:ascii="Calibri" w:hAnsi="Calibri"/>
                <w:b/>
                <w:color w:val="FFFFFF"/>
                <w:sz w:val="24"/>
              </w:rPr>
              <w:t>Detector Rule</w:t>
            </w:r>
          </w:p>
        </w:tc>
        <w:tc>
          <w:tcPr>
            <w:tcW w:type="dxa" w:w="3120"/>
            <w:shd w:val="clear" w:color="auto" w:fill="1B3A5C"/>
          </w:tcPr>
          <w:p>
            <w:pPr>
              <w:jc w:val="left"/>
            </w:pPr>
            <w:r>
              <w:rPr>
                <w:rFonts w:ascii="Calibri" w:hAnsi="Calibri"/>
                <w:b/>
                <w:color w:val="FFFFFF"/>
                <w:sz w:val="24"/>
              </w:rPr>
              <w:t>Condition</w:t>
            </w:r>
          </w:p>
        </w:tc>
        <w:tc>
          <w:tcPr>
            <w:tcW w:type="dxa" w:w="3120"/>
            <w:shd w:val="clear" w:color="auto" w:fill="1B3A5C"/>
          </w:tcPr>
          <w:p>
            <w:pPr>
              <w:jc w:val="left"/>
            </w:pPr>
            <w:r>
              <w:rPr>
                <w:rFonts w:ascii="Calibri" w:hAnsi="Calibri"/>
                <w:b/>
                <w:color w:val="FFFFFF"/>
                <w:sz w:val="24"/>
              </w:rPr>
              <w:t>Severity</w:t>
            </w:r>
          </w:p>
        </w:tc>
      </w:tr>
      <w:tr>
        <w:tc>
          <w:tcPr>
            <w:tcW w:type="dxa" w:w="3120"/>
            <w:shd w:val="clear" w:color="auto" w:fill="F0F4F8"/>
          </w:tcPr>
          <w:p>
            <w:r>
              <w:rPr>
                <w:rFonts w:ascii="Calibri" w:hAnsi="Calibri"/>
                <w:sz w:val="24"/>
              </w:rPr>
              <w:t>SYN_FLOOD</w:t>
            </w:r>
          </w:p>
        </w:tc>
        <w:tc>
          <w:tcPr>
            <w:tcW w:type="dxa" w:w="3120"/>
            <w:shd w:val="clear" w:color="auto" w:fill="F0F4F8"/>
          </w:tcPr>
          <w:p>
            <w:r>
              <w:rPr>
                <w:rFonts w:ascii="Calibri" w:hAnsi="Calibri"/>
                <w:sz w:val="24"/>
              </w:rPr>
              <w:t>SYN packets &gt; 100 in 5s from single source</w:t>
            </w:r>
          </w:p>
        </w:tc>
        <w:tc>
          <w:tcPr>
            <w:tcW w:type="dxa" w:w="3120"/>
            <w:shd w:val="clear" w:color="auto" w:fill="F0F4F8"/>
          </w:tcPr>
          <w:p>
            <w:r>
              <w:rPr>
                <w:rFonts w:ascii="Calibri" w:hAnsi="Calibri"/>
                <w:sz w:val="24"/>
              </w:rPr>
              <w:t>Critical</w:t>
            </w:r>
          </w:p>
        </w:tc>
      </w:tr>
      <w:tr>
        <w:tc>
          <w:tcPr>
            <w:tcW w:type="dxa" w:w="3120"/>
            <w:shd w:val="clear" w:color="auto" w:fill="FFFFFF"/>
          </w:tcPr>
          <w:p>
            <w:r>
              <w:rPr>
                <w:rFonts w:ascii="Calibri" w:hAnsi="Calibri"/>
                <w:sz w:val="24"/>
              </w:rPr>
              <w:t>PORT_SCAN</w:t>
            </w:r>
          </w:p>
        </w:tc>
        <w:tc>
          <w:tcPr>
            <w:tcW w:type="dxa" w:w="3120"/>
            <w:shd w:val="clear" w:color="auto" w:fill="FFFFFF"/>
          </w:tcPr>
          <w:p>
            <w:r>
              <w:rPr>
                <w:rFonts w:ascii="Calibri" w:hAnsi="Calibri"/>
                <w:sz w:val="24"/>
              </w:rPr>
              <w:t>Unique dst ports &gt; 20 in 10s from single source</w:t>
            </w:r>
          </w:p>
        </w:tc>
        <w:tc>
          <w:tcPr>
            <w:tcW w:type="dxa" w:w="3120"/>
            <w:shd w:val="clear" w:color="auto" w:fill="FFFFFF"/>
          </w:tcPr>
          <w:p>
            <w:r>
              <w:rPr>
                <w:rFonts w:ascii="Calibri" w:hAnsi="Calibri"/>
                <w:sz w:val="24"/>
              </w:rPr>
              <w:t>High</w:t>
            </w:r>
          </w:p>
        </w:tc>
      </w:tr>
      <w:tr>
        <w:tc>
          <w:tcPr>
            <w:tcW w:type="dxa" w:w="3120"/>
            <w:shd w:val="clear" w:color="auto" w:fill="F0F4F8"/>
          </w:tcPr>
          <w:p>
            <w:r>
              <w:rPr>
                <w:rFonts w:ascii="Calibri" w:hAnsi="Calibri"/>
                <w:sz w:val="24"/>
              </w:rPr>
              <w:t>ICMP_FLOOD</w:t>
            </w:r>
          </w:p>
        </w:tc>
        <w:tc>
          <w:tcPr>
            <w:tcW w:type="dxa" w:w="3120"/>
            <w:shd w:val="clear" w:color="auto" w:fill="F0F4F8"/>
          </w:tcPr>
          <w:p>
            <w:r>
              <w:rPr>
                <w:rFonts w:ascii="Calibri" w:hAnsi="Calibri"/>
                <w:sz w:val="24"/>
              </w:rPr>
              <w:t>ICMP pkt_rate &gt; 50 pps from single source</w:t>
            </w:r>
          </w:p>
        </w:tc>
        <w:tc>
          <w:tcPr>
            <w:tcW w:type="dxa" w:w="3120"/>
            <w:shd w:val="clear" w:color="auto" w:fill="F0F4F8"/>
          </w:tcPr>
          <w:p>
            <w:r>
              <w:rPr>
                <w:rFonts w:ascii="Calibri" w:hAnsi="Calibri"/>
                <w:sz w:val="24"/>
              </w:rPr>
              <w:t>High</w:t>
            </w:r>
          </w:p>
        </w:tc>
      </w:tr>
      <w:tr>
        <w:tc>
          <w:tcPr>
            <w:tcW w:type="dxa" w:w="3120"/>
            <w:shd w:val="clear" w:color="auto" w:fill="FFFFFF"/>
          </w:tcPr>
          <w:p>
            <w:r>
              <w:rPr>
                <w:rFonts w:ascii="Calibri" w:hAnsi="Calibri"/>
                <w:sz w:val="24"/>
              </w:rPr>
              <w:t>SSH_BRUTE</w:t>
            </w:r>
          </w:p>
        </w:tc>
        <w:tc>
          <w:tcPr>
            <w:tcW w:type="dxa" w:w="3120"/>
            <w:shd w:val="clear" w:color="auto" w:fill="FFFFFF"/>
          </w:tcPr>
          <w:p>
            <w:r>
              <w:rPr>
                <w:rFonts w:ascii="Calibri" w:hAnsi="Calibri"/>
                <w:sz w:val="24"/>
              </w:rPr>
              <w:t>&gt; 10 TCP SYN to port 22 in 30s</w:t>
            </w:r>
          </w:p>
        </w:tc>
        <w:tc>
          <w:tcPr>
            <w:tcW w:type="dxa" w:w="3120"/>
            <w:shd w:val="clear" w:color="auto" w:fill="FFFFFF"/>
          </w:tcPr>
          <w:p>
            <w:r>
              <w:rPr>
                <w:rFonts w:ascii="Calibri" w:hAnsi="Calibri"/>
                <w:sz w:val="24"/>
              </w:rPr>
              <w:t>High</w:t>
            </w:r>
          </w:p>
        </w:tc>
      </w:tr>
      <w:tr>
        <w:tc>
          <w:tcPr>
            <w:tcW w:type="dxa" w:w="3120"/>
            <w:shd w:val="clear" w:color="auto" w:fill="F0F4F8"/>
          </w:tcPr>
          <w:p>
            <w:r>
              <w:rPr>
                <w:rFonts w:ascii="Calibri" w:hAnsi="Calibri"/>
                <w:sz w:val="24"/>
              </w:rPr>
              <w:t>ARP_SPOOF</w:t>
            </w:r>
          </w:p>
        </w:tc>
        <w:tc>
          <w:tcPr>
            <w:tcW w:type="dxa" w:w="3120"/>
            <w:shd w:val="clear" w:color="auto" w:fill="F0F4F8"/>
          </w:tcPr>
          <w:p>
            <w:r>
              <w:rPr>
                <w:rFonts w:ascii="Calibri" w:hAnsi="Calibri"/>
                <w:sz w:val="24"/>
              </w:rPr>
              <w:t>ARP replies with mismatched MAC/IP pairs</w:t>
            </w:r>
          </w:p>
        </w:tc>
        <w:tc>
          <w:tcPr>
            <w:tcW w:type="dxa" w:w="3120"/>
            <w:shd w:val="clear" w:color="auto" w:fill="F0F4F8"/>
          </w:tcPr>
          <w:p>
            <w:r>
              <w:rPr>
                <w:rFonts w:ascii="Calibri" w:hAnsi="Calibri"/>
                <w:sz w:val="24"/>
              </w:rPr>
              <w:t>Critical</w:t>
            </w:r>
          </w:p>
        </w:tc>
      </w:tr>
      <w:tr>
        <w:tc>
          <w:tcPr>
            <w:tcW w:type="dxa" w:w="3120"/>
            <w:shd w:val="clear" w:color="auto" w:fill="FFFFFF"/>
          </w:tcPr>
          <w:p>
            <w:r>
              <w:rPr>
                <w:rFonts w:ascii="Calibri" w:hAnsi="Calibri"/>
                <w:sz w:val="24"/>
              </w:rPr>
              <w:t>NULL_SCAN</w:t>
            </w:r>
          </w:p>
        </w:tc>
        <w:tc>
          <w:tcPr>
            <w:tcW w:type="dxa" w:w="3120"/>
            <w:shd w:val="clear" w:color="auto" w:fill="FFFFFF"/>
          </w:tcPr>
          <w:p>
            <w:r>
              <w:rPr>
                <w:rFonts w:ascii="Calibri" w:hAnsi="Calibri"/>
                <w:sz w:val="24"/>
              </w:rPr>
              <w:t>TCP packet with all flags cleared</w:t>
            </w:r>
          </w:p>
        </w:tc>
        <w:tc>
          <w:tcPr>
            <w:tcW w:type="dxa" w:w="3120"/>
            <w:shd w:val="clear" w:color="auto" w:fill="FFFFFF"/>
          </w:tcPr>
          <w:p>
            <w:r>
              <w:rPr>
                <w:rFonts w:ascii="Calibri" w:hAnsi="Calibri"/>
                <w:sz w:val="24"/>
              </w:rPr>
              <w:t>Medium</w:t>
            </w:r>
          </w:p>
        </w:tc>
      </w:tr>
      <w:tr>
        <w:tc>
          <w:tcPr>
            <w:tcW w:type="dxa" w:w="3120"/>
            <w:shd w:val="clear" w:color="auto" w:fill="F0F4F8"/>
          </w:tcPr>
          <w:p>
            <w:r>
              <w:rPr>
                <w:rFonts w:ascii="Calibri" w:hAnsi="Calibri"/>
                <w:sz w:val="24"/>
              </w:rPr>
              <w:t>XMAS_SCAN</w:t>
            </w:r>
          </w:p>
        </w:tc>
        <w:tc>
          <w:tcPr>
            <w:tcW w:type="dxa" w:w="3120"/>
            <w:shd w:val="clear" w:color="auto" w:fill="F0F4F8"/>
          </w:tcPr>
          <w:p>
            <w:r>
              <w:rPr>
                <w:rFonts w:ascii="Calibri" w:hAnsi="Calibri"/>
                <w:sz w:val="24"/>
              </w:rPr>
              <w:t>TCP with FIN+URG+PSH flags set</w:t>
            </w:r>
          </w:p>
        </w:tc>
        <w:tc>
          <w:tcPr>
            <w:tcW w:type="dxa" w:w="3120"/>
            <w:shd w:val="clear" w:color="auto" w:fill="F0F4F8"/>
          </w:tcPr>
          <w:p>
            <w:r>
              <w:rPr>
                <w:rFonts w:ascii="Calibri" w:hAnsi="Calibri"/>
                <w:sz w:val="24"/>
              </w:rPr>
              <w:t>Medium</w:t>
            </w:r>
          </w:p>
        </w:tc>
      </w:tr>
      <w:tr>
        <w:tc>
          <w:tcPr>
            <w:tcW w:type="dxa" w:w="3120"/>
            <w:shd w:val="clear" w:color="auto" w:fill="FFFFFF"/>
          </w:tcPr>
          <w:p>
            <w:r>
              <w:rPr>
                <w:rFonts w:ascii="Calibri" w:hAnsi="Calibri"/>
                <w:sz w:val="24"/>
              </w:rPr>
              <w:t>UDP_FLOOD</w:t>
            </w:r>
          </w:p>
        </w:tc>
        <w:tc>
          <w:tcPr>
            <w:tcW w:type="dxa" w:w="3120"/>
            <w:shd w:val="clear" w:color="auto" w:fill="FFFFFF"/>
          </w:tcPr>
          <w:p>
            <w:r>
              <w:rPr>
                <w:rFonts w:ascii="Calibri" w:hAnsi="Calibri"/>
                <w:sz w:val="24"/>
              </w:rPr>
              <w:t>UDP pkt_rate &gt; 500 pps from single source</w:t>
            </w:r>
          </w:p>
        </w:tc>
        <w:tc>
          <w:tcPr>
            <w:tcW w:type="dxa" w:w="3120"/>
            <w:shd w:val="clear" w:color="auto" w:fill="FFFFFF"/>
          </w:tcPr>
          <w:p>
            <w:r>
              <w:rPr>
                <w:rFonts w:ascii="Calibri" w:hAnsi="Calibri"/>
                <w:sz w:val="24"/>
              </w:rPr>
              <w:t>High</w:t>
            </w:r>
          </w:p>
        </w:tc>
      </w:tr>
      <w:tr>
        <w:tc>
          <w:tcPr>
            <w:tcW w:type="dxa" w:w="3120"/>
            <w:shd w:val="clear" w:color="auto" w:fill="F0F4F8"/>
          </w:tcPr>
          <w:p>
            <w:r>
              <w:rPr>
                <w:rFonts w:ascii="Calibri" w:hAnsi="Calibri"/>
                <w:sz w:val="24"/>
              </w:rPr>
              <w:t>DNS_AMPLIFY</w:t>
            </w:r>
          </w:p>
        </w:tc>
        <w:tc>
          <w:tcPr>
            <w:tcW w:type="dxa" w:w="3120"/>
            <w:shd w:val="clear" w:color="auto" w:fill="F0F4F8"/>
          </w:tcPr>
          <w:p>
            <w:r>
              <w:rPr>
                <w:rFonts w:ascii="Calibri" w:hAnsi="Calibri"/>
                <w:sz w:val="24"/>
              </w:rPr>
              <w:t>UDP dst port 53 with response &gt; 10x request size</w:t>
            </w:r>
          </w:p>
        </w:tc>
        <w:tc>
          <w:tcPr>
            <w:tcW w:type="dxa" w:w="3120"/>
            <w:shd w:val="clear" w:color="auto" w:fill="F0F4F8"/>
          </w:tcPr>
          <w:p>
            <w:r>
              <w:rPr>
                <w:rFonts w:ascii="Calibri" w:hAnsi="Calibri"/>
                <w:sz w:val="24"/>
              </w:rPr>
              <w:t>Medium</w:t>
            </w:r>
          </w:p>
        </w:tc>
      </w:tr>
      <w:tr>
        <w:tc>
          <w:tcPr>
            <w:tcW w:type="dxa" w:w="3120"/>
            <w:shd w:val="clear" w:color="auto" w:fill="FFFFFF"/>
          </w:tcPr>
          <w:p>
            <w:r>
              <w:rPr>
                <w:rFonts w:ascii="Calibri" w:hAnsi="Calibri"/>
                <w:sz w:val="24"/>
              </w:rPr>
              <w:t>HTTP_FUZZ</w:t>
            </w:r>
          </w:p>
        </w:tc>
        <w:tc>
          <w:tcPr>
            <w:tcW w:type="dxa" w:w="3120"/>
            <w:shd w:val="clear" w:color="auto" w:fill="FFFFFF"/>
          </w:tcPr>
          <w:p>
            <w:r>
              <w:rPr>
                <w:rFonts w:ascii="Calibri" w:hAnsi="Calibri"/>
                <w:sz w:val="24"/>
              </w:rPr>
              <w:t>HTTP GET/POST rate &gt; 200/min to single host</w:t>
            </w:r>
          </w:p>
        </w:tc>
        <w:tc>
          <w:tcPr>
            <w:tcW w:type="dxa" w:w="3120"/>
            <w:shd w:val="clear" w:color="auto" w:fill="FFFFFF"/>
          </w:tcPr>
          <w:p>
            <w:r>
              <w:rPr>
                <w:rFonts w:ascii="Calibri" w:hAnsi="Calibri"/>
                <w:sz w:val="24"/>
              </w:rPr>
              <w:t>Medium</w:t>
            </w:r>
          </w:p>
        </w:tc>
      </w:tr>
    </w:tbl>
    <w:p>
      <w:pPr>
        <w:spacing w:before="0" w:after="120" w:line="360" w:lineRule="auto"/>
        <w:jc w:val="center"/>
      </w:pPr>
      <w:r>
        <w:rPr>
          <w:rFonts w:ascii="Calibri" w:hAnsi="Calibri"/>
          <w:b w:val="0"/>
          <w:i/>
          <w:sz w:val="24"/>
        </w:rPr>
        <w:t>Table 3.4: IDS rule engine detector conditions and severity classifications.</w:t>
      </w:r>
    </w:p>
    <w:p>
      <w:pPr>
        <w:spacing w:before="240" w:after="120" w:line="360" w:lineRule="auto"/>
      </w:pPr>
      <w:r>
        <w:rPr>
          <w:rFonts w:ascii="Calibri" w:hAnsi="Calibri"/>
          <w:b/>
          <w:i w:val="0"/>
          <w:sz w:val="26"/>
        </w:rPr>
        <w:t>3.5 Flow-Aware Dynamic Honeypot Deployment</w:t>
      </w:r>
    </w:p>
    <w:p>
      <w:pPr>
        <w:spacing w:before="0" w:after="120" w:line="360" w:lineRule="auto"/>
        <w:jc w:val="both"/>
      </w:pPr>
      <w:r>
        <w:rPr>
          <w:rFonts w:ascii="Calibri" w:hAnsi="Calibri"/>
          <w:b w:val="0"/>
          <w:i w:val="0"/>
          <w:sz w:val="24"/>
        </w:rPr>
        <w:t>The honeypot redirection mechanism is the most novel aspect of NTTH's design. When the Decision Agent determines that a source IP should be redirected rather than simply blocked, it constructs an nftables DNAT (Destination Network Address Translation) rule that intercepts traffic from the attacker's specific source IP targeting the original victim host, and transparently redirects it to the corresponding honeypot service. This is flow-aware because the rule is specific to the observed attacker-to-victim-port flow combination.</w:t>
      </w:r>
    </w:p>
    <w:p>
      <w:pPr>
        <w:spacing w:before="0" w:after="120" w:line="360" w:lineRule="auto"/>
        <w:jc w:val="both"/>
      </w:pPr>
      <w:r>
        <w:rPr>
          <w:rFonts w:ascii="Calibri" w:hAnsi="Calibri"/>
          <w:b w:val="0"/>
          <w:i w:val="0"/>
          <w:sz w:val="24"/>
        </w:rPr>
        <w:t>From the attacker's perspective, the connection appears to succeed against the original target: the TCP handshake completes, the SSH banner is presented (matching the original host's SSH version string), and the attacker proceeds to attempt credential brute force or command execution. All of this activity is captured by Cowrie and stored in the honeypot session table in the database.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Pr>
          <w:p>
            <w:pPr>
              <w:jc w:val="left"/>
            </w:pPr>
            <w:r>
              <w:rPr>
                <w:rFonts w:ascii="Calibri" w:hAnsi="Calibri"/>
                <w:b/>
                <w:color w:val="FFFFFF"/>
                <w:sz w:val="24"/>
              </w:rPr>
              <w:t>Risk Score Range</w:t>
            </w:r>
          </w:p>
        </w:tc>
        <w:tc>
          <w:tcPr>
            <w:tcW w:type="dxa" w:w="2340"/>
            <w:shd w:val="clear" w:color="auto" w:fill="1B3A5C"/>
          </w:tcPr>
          <w:p>
            <w:pPr>
              <w:jc w:val="left"/>
            </w:pPr>
            <w:r>
              <w:rPr>
                <w:rFonts w:ascii="Calibri" w:hAnsi="Calibri"/>
                <w:b/>
                <w:color w:val="FFFFFF"/>
                <w:sz w:val="24"/>
              </w:rPr>
              <w:t>Action</w:t>
            </w:r>
          </w:p>
        </w:tc>
        <w:tc>
          <w:tcPr>
            <w:tcW w:type="dxa" w:w="2340"/>
            <w:shd w:val="clear" w:color="auto" w:fill="1B3A5C"/>
          </w:tcPr>
          <w:p>
            <w:pPr>
              <w:jc w:val="left"/>
            </w:pPr>
            <w:r>
              <w:rPr>
                <w:rFonts w:ascii="Calibri" w:hAnsi="Calibri"/>
                <w:b/>
                <w:color w:val="FFFFFF"/>
                <w:sz w:val="24"/>
              </w:rPr>
              <w:t>Mechanism</w:t>
            </w:r>
          </w:p>
        </w:tc>
        <w:tc>
          <w:tcPr>
            <w:tcW w:type="dxa" w:w="2340"/>
            <w:shd w:val="clear" w:color="auto" w:fill="1B3A5C"/>
          </w:tcPr>
          <w:p>
            <w:pPr>
              <w:jc w:val="left"/>
            </w:pPr>
            <w:r>
              <w:rPr>
                <w:rFonts w:ascii="Calibri" w:hAnsi="Calibri"/>
                <w:b/>
                <w:color w:val="FFFFFF"/>
                <w:sz w:val="24"/>
              </w:rPr>
              <w:t>Reversible</w:t>
            </w:r>
          </w:p>
        </w:tc>
      </w:tr>
      <w:tr>
        <w:tc>
          <w:tcPr>
            <w:tcW w:type="dxa" w:w="2340"/>
            <w:shd w:val="clear" w:color="auto" w:fill="F0F4F8"/>
          </w:tcPr>
          <w:p>
            <w:r>
              <w:rPr>
                <w:rFonts w:ascii="Calibri" w:hAnsi="Calibri"/>
                <w:sz w:val="24"/>
              </w:rPr>
              <w:t>0.00 – 0.29</w:t>
            </w:r>
          </w:p>
        </w:tc>
        <w:tc>
          <w:tcPr>
            <w:tcW w:type="dxa" w:w="2340"/>
            <w:shd w:val="clear" w:color="auto" w:fill="F0F4F8"/>
          </w:tcPr>
          <w:p>
            <w:r>
              <w:rPr>
                <w:rFonts w:ascii="Calibri" w:hAnsi="Calibri"/>
                <w:sz w:val="24"/>
              </w:rPr>
              <w:t>MONITOR</w:t>
            </w:r>
          </w:p>
        </w:tc>
        <w:tc>
          <w:tcPr>
            <w:tcW w:type="dxa" w:w="2340"/>
            <w:shd w:val="clear" w:color="auto" w:fill="F0F4F8"/>
          </w:tcPr>
          <w:p>
            <w:r>
              <w:rPr>
                <w:rFonts w:ascii="Calibri" w:hAnsi="Calibri"/>
                <w:sz w:val="24"/>
              </w:rPr>
              <w:t>Logging only</w:t>
            </w:r>
          </w:p>
        </w:tc>
        <w:tc>
          <w:tcPr>
            <w:tcW w:type="dxa" w:w="2340"/>
            <w:shd w:val="clear" w:color="auto" w:fill="F0F4F8"/>
          </w:tcPr>
          <w:p>
            <w:r>
              <w:rPr>
                <w:rFonts w:ascii="Calibri" w:hAnsi="Calibri"/>
                <w:sz w:val="24"/>
              </w:rPr>
              <w:t>N/A</w:t>
            </w:r>
          </w:p>
        </w:tc>
      </w:tr>
      <w:tr>
        <w:tc>
          <w:tcPr>
            <w:tcW w:type="dxa" w:w="2340"/>
            <w:shd w:val="clear" w:color="auto" w:fill="FFFFFF"/>
          </w:tcPr>
          <w:p>
            <w:r>
              <w:rPr>
                <w:rFonts w:ascii="Calibri" w:hAnsi="Calibri"/>
                <w:sz w:val="24"/>
              </w:rPr>
              <w:t>0.30 – 0.49</w:t>
            </w:r>
          </w:p>
        </w:tc>
        <w:tc>
          <w:tcPr>
            <w:tcW w:type="dxa" w:w="2340"/>
            <w:shd w:val="clear" w:color="auto" w:fill="FFFFFF"/>
          </w:tcPr>
          <w:p>
            <w:r>
              <w:rPr>
                <w:rFonts w:ascii="Calibri" w:hAnsi="Calibri"/>
                <w:sz w:val="24"/>
              </w:rPr>
              <w:t>ALERT</w:t>
            </w:r>
          </w:p>
        </w:tc>
        <w:tc>
          <w:tcPr>
            <w:tcW w:type="dxa" w:w="2340"/>
            <w:shd w:val="clear" w:color="auto" w:fill="FFFFFF"/>
          </w:tcPr>
          <w:p>
            <w:r>
              <w:rPr>
                <w:rFonts w:ascii="Calibri" w:hAnsi="Calibri"/>
                <w:sz w:val="24"/>
              </w:rPr>
              <w:t>Dashboard notification</w:t>
            </w:r>
          </w:p>
        </w:tc>
        <w:tc>
          <w:tcPr>
            <w:tcW w:type="dxa" w:w="2340"/>
            <w:shd w:val="clear" w:color="auto" w:fill="FFFFFF"/>
          </w:tcPr>
          <w:p>
            <w:r>
              <w:rPr>
                <w:rFonts w:ascii="Calibri" w:hAnsi="Calibri"/>
                <w:sz w:val="24"/>
              </w:rPr>
              <w:t>N/A</w:t>
            </w:r>
          </w:p>
        </w:tc>
      </w:tr>
      <w:tr>
        <w:tc>
          <w:tcPr>
            <w:tcW w:type="dxa" w:w="2340"/>
            <w:shd w:val="clear" w:color="auto" w:fill="F0F4F8"/>
          </w:tcPr>
          <w:p>
            <w:r>
              <w:rPr>
                <w:rFonts w:ascii="Calibri" w:hAnsi="Calibri"/>
                <w:sz w:val="24"/>
              </w:rPr>
              <w:t>0.50 – 0.64</w:t>
            </w:r>
          </w:p>
        </w:tc>
        <w:tc>
          <w:tcPr>
            <w:tcW w:type="dxa" w:w="2340"/>
            <w:shd w:val="clear" w:color="auto" w:fill="F0F4F8"/>
          </w:tcPr>
          <w:p>
            <w:r>
              <w:rPr>
                <w:rFonts w:ascii="Calibri" w:hAnsi="Calibri"/>
                <w:sz w:val="24"/>
              </w:rPr>
              <w:t>THROTTLE</w:t>
            </w:r>
          </w:p>
        </w:tc>
        <w:tc>
          <w:tcPr>
            <w:tcW w:type="dxa" w:w="2340"/>
            <w:shd w:val="clear" w:color="auto" w:fill="F0F4F8"/>
          </w:tcPr>
          <w:p>
            <w:r>
              <w:rPr>
                <w:rFonts w:ascii="Calibri" w:hAnsi="Calibri"/>
                <w:sz w:val="24"/>
              </w:rPr>
              <w:t>tc-qdisc bandwidth cap</w:t>
            </w:r>
          </w:p>
        </w:tc>
        <w:tc>
          <w:tcPr>
            <w:tcW w:type="dxa" w:w="2340"/>
            <w:shd w:val="clear" w:color="auto" w:fill="F0F4F8"/>
          </w:tcPr>
          <w:p>
            <w:r>
              <w:rPr>
                <w:rFonts w:ascii="Calibri" w:hAnsi="Calibri"/>
                <w:sz w:val="24"/>
              </w:rPr>
              <w:t>Yes (auto-expiry 5min)</w:t>
            </w:r>
          </w:p>
        </w:tc>
      </w:tr>
      <w:tr>
        <w:tc>
          <w:tcPr>
            <w:tcW w:type="dxa" w:w="2340"/>
            <w:shd w:val="clear" w:color="auto" w:fill="FFFFFF"/>
          </w:tcPr>
          <w:p>
            <w:r>
              <w:rPr>
                <w:rFonts w:ascii="Calibri" w:hAnsi="Calibri"/>
                <w:sz w:val="24"/>
              </w:rPr>
              <w:t>0.65 – 0.79</w:t>
            </w:r>
          </w:p>
        </w:tc>
        <w:tc>
          <w:tcPr>
            <w:tcW w:type="dxa" w:w="2340"/>
            <w:shd w:val="clear" w:color="auto" w:fill="FFFFFF"/>
          </w:tcPr>
          <w:p>
            <w:r>
              <w:rPr>
                <w:rFonts w:ascii="Calibri" w:hAnsi="Calibri"/>
                <w:sz w:val="24"/>
              </w:rPr>
              <w:t>BLOCK</w:t>
            </w:r>
          </w:p>
        </w:tc>
        <w:tc>
          <w:tcPr>
            <w:tcW w:type="dxa" w:w="2340"/>
            <w:shd w:val="clear" w:color="auto" w:fill="FFFFFF"/>
          </w:tcPr>
          <w:p>
            <w:r>
              <w:rPr>
                <w:rFonts w:ascii="Calibri" w:hAnsi="Calibri"/>
                <w:sz w:val="24"/>
              </w:rPr>
              <w:t>nftables DROP rule</w:t>
            </w:r>
          </w:p>
        </w:tc>
        <w:tc>
          <w:tcPr>
            <w:tcW w:type="dxa" w:w="2340"/>
            <w:shd w:val="clear" w:color="auto" w:fill="FFFFFF"/>
          </w:tcPr>
          <w:p>
            <w:r>
              <w:rPr>
                <w:rFonts w:ascii="Calibri" w:hAnsi="Calibri"/>
                <w:sz w:val="24"/>
              </w:rPr>
              <w:t>Yes (manual or auto)</w:t>
            </w:r>
          </w:p>
        </w:tc>
      </w:tr>
      <w:tr>
        <w:tc>
          <w:tcPr>
            <w:tcW w:type="dxa" w:w="2340"/>
            <w:shd w:val="clear" w:color="auto" w:fill="F0F4F8"/>
          </w:tcPr>
          <w:p>
            <w:r>
              <w:rPr>
                <w:rFonts w:ascii="Calibri" w:hAnsi="Calibri"/>
                <w:sz w:val="24"/>
              </w:rPr>
              <w:t>0.80 – 1.00</w:t>
            </w:r>
          </w:p>
        </w:tc>
        <w:tc>
          <w:tcPr>
            <w:tcW w:type="dxa" w:w="2340"/>
            <w:shd w:val="clear" w:color="auto" w:fill="F0F4F8"/>
          </w:tcPr>
          <w:p>
            <w:r>
              <w:rPr>
                <w:rFonts w:ascii="Calibri" w:hAnsi="Calibri"/>
                <w:sz w:val="24"/>
              </w:rPr>
              <w:t>REDIRECT TO HONEYPOT</w:t>
            </w:r>
          </w:p>
        </w:tc>
        <w:tc>
          <w:tcPr>
            <w:tcW w:type="dxa" w:w="2340"/>
            <w:shd w:val="clear" w:color="auto" w:fill="F0F4F8"/>
          </w:tcPr>
          <w:p>
            <w:r>
              <w:rPr>
                <w:rFonts w:ascii="Calibri" w:hAnsi="Calibri"/>
                <w:sz w:val="24"/>
              </w:rPr>
              <w:t>nftables DNAT rule</w:t>
            </w:r>
          </w:p>
        </w:tc>
        <w:tc>
          <w:tcPr>
            <w:tcW w:type="dxa" w:w="2340"/>
            <w:shd w:val="clear" w:color="auto" w:fill="F0F4F8"/>
          </w:tcPr>
          <w:p>
            <w:r>
              <w:rPr>
                <w:rFonts w:ascii="Calibri" w:hAnsi="Calibri"/>
                <w:sz w:val="24"/>
              </w:rPr>
              <w:t>Yes (manual or auto)</w:t>
            </w:r>
          </w:p>
        </w:tc>
      </w:tr>
    </w:tbl>
    <w:p>
      <w:pPr>
        <w:spacing w:before="0" w:after="120" w:line="360" w:lineRule="auto"/>
        <w:jc w:val="center"/>
      </w:pPr>
      <w:r>
        <w:rPr>
          <w:rFonts w:ascii="Calibri" w:hAnsi="Calibri"/>
          <w:b w:val="0"/>
          <w:i/>
          <w:sz w:val="24"/>
        </w:rPr>
        <w:t>Table 3.5: Risk score to enforcement action mapping with mechanism and reversibility.</w:t>
      </w:r>
    </w:p>
    <w:p>
      <w:pPr>
        <w:spacing w:before="240" w:after="120" w:line="360" w:lineRule="auto"/>
      </w:pPr>
      <w:r>
        <w:rPr>
          <w:rFonts w:ascii="Calibri" w:hAnsi="Calibri"/>
          <w:b/>
          <w:i w:val="0"/>
          <w:sz w:val="26"/>
        </w:rPr>
        <w:t>3.6 Database Schema Design</w:t>
      </w:r>
    </w:p>
    <w:p>
      <w:pPr>
        <w:spacing w:before="0" w:after="120" w:line="360" w:lineRule="auto"/>
        <w:jc w:val="both"/>
      </w:pPr>
      <w:r>
        <w:rPr>
          <w:rFonts w:ascii="Calibri" w:hAnsi="Calibri"/>
          <w:b w:val="0"/>
          <w:i w:val="0"/>
          <w:sz w:val="24"/>
        </w:rPr>
        <w:t>NTTH uses SQLite as its primary data store. The choice of SQLite over a client-server database was deliberate: for the traffic volumes and query patterns NTTH targets, SQLite's file-based architecture eliminates a deployment dependency while providing adequate write throughput. All database writes are performed by the Reporting Agent through a connection pooled via SQLAlchemy with WAL (Write-Ahead Log) mode enabled.</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Pr>
          <w:p>
            <w:pPr>
              <w:jc w:val="left"/>
            </w:pPr>
            <w:r>
              <w:rPr>
                <w:rFonts w:ascii="Calibri" w:hAnsi="Calibri"/>
                <w:b/>
                <w:color w:val="FFFFFF"/>
                <w:sz w:val="24"/>
              </w:rPr>
              <w:t>Table</w:t>
            </w:r>
          </w:p>
        </w:tc>
        <w:tc>
          <w:tcPr>
            <w:tcW w:type="dxa" w:w="3120"/>
            <w:shd w:val="clear" w:color="auto" w:fill="1B3A5C"/>
          </w:tcPr>
          <w:p>
            <w:pPr>
              <w:jc w:val="left"/>
            </w:pPr>
            <w:r>
              <w:rPr>
                <w:rFonts w:ascii="Calibri" w:hAnsi="Calibri"/>
                <w:b/>
                <w:color w:val="FFFFFF"/>
                <w:sz w:val="24"/>
              </w:rPr>
              <w:t>Primary Key</w:t>
            </w:r>
          </w:p>
        </w:tc>
        <w:tc>
          <w:tcPr>
            <w:tcW w:type="dxa" w:w="3120"/>
            <w:shd w:val="clear" w:color="auto" w:fill="1B3A5C"/>
          </w:tcPr>
          <w:p>
            <w:pPr>
              <w:jc w:val="left"/>
            </w:pPr>
            <w:r>
              <w:rPr>
                <w:rFonts w:ascii="Calibri" w:hAnsi="Calibri"/>
                <w:b/>
                <w:color w:val="FFFFFF"/>
                <w:sz w:val="24"/>
              </w:rPr>
              <w:t>Description</w:t>
            </w:r>
          </w:p>
        </w:tc>
      </w:tr>
      <w:tr>
        <w:tc>
          <w:tcPr>
            <w:tcW w:type="dxa" w:w="3120"/>
            <w:shd w:val="clear" w:color="auto" w:fill="F0F4F8"/>
          </w:tcPr>
          <w:p>
            <w:r>
              <w:rPr>
                <w:rFonts w:ascii="Calibri" w:hAnsi="Calibri"/>
                <w:sz w:val="24"/>
              </w:rPr>
              <w:t>threat_events</w:t>
            </w:r>
          </w:p>
        </w:tc>
        <w:tc>
          <w:tcPr>
            <w:tcW w:type="dxa" w:w="3120"/>
            <w:shd w:val="clear" w:color="auto" w:fill="F0F4F8"/>
          </w:tcPr>
          <w:p>
            <w:r>
              <w:rPr>
                <w:rFonts w:ascii="Calibri" w:hAnsi="Calibri"/>
                <w:sz w:val="24"/>
              </w:rPr>
              <w:t>event_id (UUID)</w:t>
            </w:r>
          </w:p>
        </w:tc>
        <w:tc>
          <w:tcPr>
            <w:tcW w:type="dxa" w:w="3120"/>
            <w:shd w:val="clear" w:color="auto" w:fill="F0F4F8"/>
          </w:tcPr>
          <w:p>
            <w:r>
              <w:rPr>
                <w:rFonts w:ascii="Calibri" w:hAnsi="Calibri"/>
                <w:sz w:val="24"/>
              </w:rPr>
              <w:t>All scored threat events with feature vectors, IDS score, anomaly score, composite score</w:t>
            </w:r>
          </w:p>
        </w:tc>
      </w:tr>
      <w:tr>
        <w:tc>
          <w:tcPr>
            <w:tcW w:type="dxa" w:w="3120"/>
            <w:shd w:val="clear" w:color="auto" w:fill="FFFFFF"/>
          </w:tcPr>
          <w:p>
            <w:r>
              <w:rPr>
                <w:rFonts w:ascii="Calibri" w:hAnsi="Calibri"/>
                <w:sz w:val="24"/>
              </w:rPr>
              <w:t>enforcement_actions</w:t>
            </w:r>
          </w:p>
        </w:tc>
        <w:tc>
          <w:tcPr>
            <w:tcW w:type="dxa" w:w="3120"/>
            <w:shd w:val="clear" w:color="auto" w:fill="FFFFFF"/>
          </w:tcPr>
          <w:p>
            <w:r>
              <w:rPr>
                <w:rFonts w:ascii="Calibri" w:hAnsi="Calibri"/>
                <w:sz w:val="24"/>
              </w:rPr>
              <w:t>action_id (UUID)</w:t>
            </w:r>
          </w:p>
        </w:tc>
        <w:tc>
          <w:tcPr>
            <w:tcW w:type="dxa" w:w="3120"/>
            <w:shd w:val="clear" w:color="auto" w:fill="FFFFFF"/>
          </w:tcPr>
          <w:p>
            <w:r>
              <w:rPr>
                <w:rFonts w:ascii="Calibri" w:hAnsi="Calibri"/>
                <w:sz w:val="24"/>
              </w:rPr>
              <w:t>All enforcement actions with type, target IP/port, rule text, timestamp, and result</w:t>
            </w:r>
          </w:p>
        </w:tc>
      </w:tr>
      <w:tr>
        <w:tc>
          <w:tcPr>
            <w:tcW w:type="dxa" w:w="3120"/>
            <w:shd w:val="clear" w:color="auto" w:fill="F0F4F8"/>
          </w:tcPr>
          <w:p>
            <w:r>
              <w:rPr>
                <w:rFonts w:ascii="Calibri" w:hAnsi="Calibri"/>
                <w:sz w:val="24"/>
              </w:rPr>
              <w:t>honeypot_sessions</w:t>
            </w:r>
          </w:p>
        </w:tc>
        <w:tc>
          <w:tcPr>
            <w:tcW w:type="dxa" w:w="3120"/>
            <w:shd w:val="clear" w:color="auto" w:fill="F0F4F8"/>
          </w:tcPr>
          <w:p>
            <w:r>
              <w:rPr>
                <w:rFonts w:ascii="Calibri" w:hAnsi="Calibri"/>
                <w:sz w:val="24"/>
              </w:rPr>
              <w:t>session_id (UUID)</w:t>
            </w:r>
          </w:p>
        </w:tc>
        <w:tc>
          <w:tcPr>
            <w:tcW w:type="dxa" w:w="3120"/>
            <w:shd w:val="clear" w:color="auto" w:fill="F0F4F8"/>
          </w:tcPr>
          <w:p>
            <w:r>
              <w:rPr>
                <w:rFonts w:ascii="Calibri" w:hAnsi="Calibri"/>
                <w:sz w:val="24"/>
              </w:rPr>
              <w:t>Cowrie and HTTP honeypot sessions with attacker IP, commands, credentials, duration</w:t>
            </w:r>
          </w:p>
        </w:tc>
      </w:tr>
      <w:tr>
        <w:tc>
          <w:tcPr>
            <w:tcW w:type="dxa" w:w="3120"/>
            <w:shd w:val="clear" w:color="auto" w:fill="FFFFFF"/>
          </w:tcPr>
          <w:p>
            <w:r>
              <w:rPr>
                <w:rFonts w:ascii="Calibri" w:hAnsi="Calibri"/>
                <w:sz w:val="24"/>
              </w:rPr>
              <w:t>firewall_rules</w:t>
            </w:r>
          </w:p>
        </w:tc>
        <w:tc>
          <w:tcPr>
            <w:tcW w:type="dxa" w:w="3120"/>
            <w:shd w:val="clear" w:color="auto" w:fill="FFFFFF"/>
          </w:tcPr>
          <w:p>
            <w:r>
              <w:rPr>
                <w:rFonts w:ascii="Calibri" w:hAnsi="Calibri"/>
                <w:sz w:val="24"/>
              </w:rPr>
              <w:t>rule_id (UUID)</w:t>
            </w:r>
          </w:p>
        </w:tc>
        <w:tc>
          <w:tcPr>
            <w:tcW w:type="dxa" w:w="3120"/>
            <w:shd w:val="clear" w:color="auto" w:fill="FFFFFF"/>
          </w:tcPr>
          <w:p>
            <w:r>
              <w:rPr>
                <w:rFonts w:ascii="Calibri" w:hAnsi="Calibri"/>
                <w:sz w:val="24"/>
              </w:rPr>
              <w:t>Active nftables rules with status, expiry time, and the event that triggered them</w:t>
            </w:r>
          </w:p>
        </w:tc>
      </w:tr>
      <w:tr>
        <w:tc>
          <w:tcPr>
            <w:tcW w:type="dxa" w:w="3120"/>
            <w:shd w:val="clear" w:color="auto" w:fill="F0F4F8"/>
          </w:tcPr>
          <w:p>
            <w:r>
              <w:rPr>
                <w:rFonts w:ascii="Calibri" w:hAnsi="Calibri"/>
                <w:sz w:val="24"/>
              </w:rPr>
              <w:t>network_devices</w:t>
            </w:r>
          </w:p>
        </w:tc>
        <w:tc>
          <w:tcPr>
            <w:tcW w:type="dxa" w:w="3120"/>
            <w:shd w:val="clear" w:color="auto" w:fill="F0F4F8"/>
          </w:tcPr>
          <w:p>
            <w:r>
              <w:rPr>
                <w:rFonts w:ascii="Calibri" w:hAnsi="Calibri"/>
                <w:sz w:val="24"/>
              </w:rPr>
              <w:t>mac_address</w:t>
            </w:r>
          </w:p>
        </w:tc>
        <w:tc>
          <w:tcPr>
            <w:tcW w:type="dxa" w:w="3120"/>
            <w:shd w:val="clear" w:color="auto" w:fill="F0F4F8"/>
          </w:tcPr>
          <w:p>
            <w:r>
              <w:rPr>
                <w:rFonts w:ascii="Calibri" w:hAnsi="Calibri"/>
                <w:sz w:val="24"/>
              </w:rPr>
              <w:t>Discovered LAN devices with IP, hostname, first seen, last seen timestamps</w:t>
            </w:r>
          </w:p>
        </w:tc>
      </w:tr>
      <w:tr>
        <w:tc>
          <w:tcPr>
            <w:tcW w:type="dxa" w:w="3120"/>
            <w:shd w:val="clear" w:color="auto" w:fill="FFFFFF"/>
          </w:tcPr>
          <w:p>
            <w:r>
              <w:rPr>
                <w:rFonts w:ascii="Calibri" w:hAnsi="Calibri"/>
                <w:sz w:val="24"/>
              </w:rPr>
              <w:t>wifi_events</w:t>
            </w:r>
          </w:p>
        </w:tc>
        <w:tc>
          <w:tcPr>
            <w:tcW w:type="dxa" w:w="3120"/>
            <w:shd w:val="clear" w:color="auto" w:fill="FFFFFF"/>
          </w:tcPr>
          <w:p>
            <w:r>
              <w:rPr>
                <w:rFonts w:ascii="Calibri" w:hAnsi="Calibri"/>
                <w:sz w:val="24"/>
              </w:rPr>
              <w:t>wifi_event_id (UUID)</w:t>
            </w:r>
          </w:p>
        </w:tc>
        <w:tc>
          <w:tcPr>
            <w:tcW w:type="dxa" w:w="3120"/>
            <w:shd w:val="clear" w:color="auto" w:fill="FFFFFF"/>
          </w:tcPr>
          <w:p>
            <w:r>
              <w:rPr>
                <w:rFonts w:ascii="Calibri" w:hAnsi="Calibri"/>
                <w:sz w:val="24"/>
              </w:rPr>
              <w:t>Probe request captures and deauthentication alerts from wireless monitor</w:t>
            </w:r>
          </w:p>
        </w:tc>
      </w:tr>
    </w:tbl>
    <w:p>
      <w:pPr>
        <w:spacing w:before="0" w:after="120" w:line="360" w:lineRule="auto"/>
        <w:jc w:val="center"/>
      </w:pPr>
      <w:r>
        <w:rPr>
          <w:rFonts w:ascii="Calibri" w:hAnsi="Calibri"/>
          <w:b w:val="0"/>
          <w:i/>
          <w:sz w:val="24"/>
        </w:rPr>
        <w:t>Table 3.6: Database table overview with primary keys and content descriptions.</w:t>
      </w:r>
    </w:p>
    <w:p>
      <w:pPr>
        <w:spacing w:before="240" w:after="120" w:line="360" w:lineRule="auto"/>
      </w:pPr>
      <w:r>
        <w:rPr>
          <w:rFonts w:ascii="Calibri" w:hAnsi="Calibri"/>
          <w:b/>
          <w:i w:val="0"/>
          <w:sz w:val="26"/>
        </w:rPr>
        <w:t>3.7 System Requirements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Pr>
          <w:p>
            <w:pPr>
              <w:jc w:val="left"/>
            </w:pPr>
            <w:r>
              <w:rPr>
                <w:rFonts w:ascii="Calibri" w:hAnsi="Calibri"/>
                <w:b/>
                <w:color w:val="FFFFFF"/>
                <w:sz w:val="24"/>
              </w:rPr>
              <w:t>Component</w:t>
            </w:r>
          </w:p>
        </w:tc>
        <w:tc>
          <w:tcPr>
            <w:tcW w:type="dxa" w:w="3120"/>
            <w:shd w:val="clear" w:color="auto" w:fill="1B3A5C"/>
          </w:tcPr>
          <w:p>
            <w:pPr>
              <w:jc w:val="left"/>
            </w:pPr>
            <w:r>
              <w:rPr>
                <w:rFonts w:ascii="Calibri" w:hAnsi="Calibri"/>
                <w:b/>
                <w:color w:val="FFFFFF"/>
                <w:sz w:val="24"/>
              </w:rPr>
              <w:t>Minimum</w:t>
            </w:r>
          </w:p>
        </w:tc>
        <w:tc>
          <w:tcPr>
            <w:tcW w:type="dxa" w:w="3120"/>
            <w:shd w:val="clear" w:color="auto" w:fill="1B3A5C"/>
          </w:tcPr>
          <w:p>
            <w:pPr>
              <w:jc w:val="left"/>
            </w:pPr>
            <w:r>
              <w:rPr>
                <w:rFonts w:ascii="Calibri" w:hAnsi="Calibri"/>
                <w:b/>
                <w:color w:val="FFFFFF"/>
                <w:sz w:val="24"/>
              </w:rPr>
              <w:t>Recommended (Test Deployment)</w:t>
            </w:r>
          </w:p>
        </w:tc>
      </w:tr>
      <w:tr>
        <w:tc>
          <w:tcPr>
            <w:tcW w:type="dxa" w:w="3120"/>
            <w:shd w:val="clear" w:color="auto" w:fill="F0F4F8"/>
          </w:tcPr>
          <w:p>
            <w:r>
              <w:rPr>
                <w:rFonts w:ascii="Calibri" w:hAnsi="Calibri"/>
                <w:sz w:val="24"/>
              </w:rPr>
              <w:t>CPU</w:t>
            </w:r>
          </w:p>
        </w:tc>
        <w:tc>
          <w:tcPr>
            <w:tcW w:type="dxa" w:w="3120"/>
            <w:shd w:val="clear" w:color="auto" w:fill="F0F4F8"/>
          </w:tcPr>
          <w:p>
            <w:r>
              <w:rPr>
                <w:rFonts w:ascii="Calibri" w:hAnsi="Calibri"/>
                <w:sz w:val="24"/>
              </w:rPr>
              <w:t>Dual-core x86_64, 1.6 GHz</w:t>
            </w:r>
          </w:p>
        </w:tc>
        <w:tc>
          <w:tcPr>
            <w:tcW w:type="dxa" w:w="3120"/>
            <w:shd w:val="clear" w:color="auto" w:fill="F0F4F8"/>
          </w:tcPr>
          <w:p>
            <w:r>
              <w:rPr>
                <w:rFonts w:ascii="Calibri" w:hAnsi="Calibri"/>
                <w:sz w:val="24"/>
              </w:rPr>
              <w:t>Intel Core i5-8250U (4 cores, 3.4 GHz boost)</w:t>
            </w:r>
          </w:p>
        </w:tc>
      </w:tr>
      <w:tr>
        <w:tc>
          <w:tcPr>
            <w:tcW w:type="dxa" w:w="3120"/>
            <w:shd w:val="clear" w:color="auto" w:fill="FFFFFF"/>
          </w:tcPr>
          <w:p>
            <w:r>
              <w:rPr>
                <w:rFonts w:ascii="Calibri" w:hAnsi="Calibri"/>
                <w:sz w:val="24"/>
              </w:rPr>
              <w:t>RAM</w:t>
            </w:r>
          </w:p>
        </w:tc>
        <w:tc>
          <w:tcPr>
            <w:tcW w:type="dxa" w:w="3120"/>
            <w:shd w:val="clear" w:color="auto" w:fill="FFFFFF"/>
          </w:tcPr>
          <w:p>
            <w:r>
              <w:rPr>
                <w:rFonts w:ascii="Calibri" w:hAnsi="Calibri"/>
                <w:sz w:val="24"/>
              </w:rPr>
              <w:t>4 GB DDR4</w:t>
            </w:r>
          </w:p>
        </w:tc>
        <w:tc>
          <w:tcPr>
            <w:tcW w:type="dxa" w:w="3120"/>
            <w:shd w:val="clear" w:color="auto" w:fill="FFFFFF"/>
          </w:tcPr>
          <w:p>
            <w:r>
              <w:rPr>
                <w:rFonts w:ascii="Calibri" w:hAnsi="Calibri"/>
                <w:sz w:val="24"/>
              </w:rPr>
              <w:t>8 GB DDR4</w:t>
            </w:r>
          </w:p>
        </w:tc>
      </w:tr>
      <w:tr>
        <w:tc>
          <w:tcPr>
            <w:tcW w:type="dxa" w:w="3120"/>
            <w:shd w:val="clear" w:color="auto" w:fill="F0F4F8"/>
          </w:tcPr>
          <w:p>
            <w:r>
              <w:rPr>
                <w:rFonts w:ascii="Calibri" w:hAnsi="Calibri"/>
                <w:sz w:val="24"/>
              </w:rPr>
              <w:t>Storage</w:t>
            </w:r>
          </w:p>
        </w:tc>
        <w:tc>
          <w:tcPr>
            <w:tcW w:type="dxa" w:w="3120"/>
            <w:shd w:val="clear" w:color="auto" w:fill="F0F4F8"/>
          </w:tcPr>
          <w:p>
            <w:r>
              <w:rPr>
                <w:rFonts w:ascii="Calibri" w:hAnsi="Calibri"/>
                <w:sz w:val="24"/>
              </w:rPr>
              <w:t>20 GB SSD</w:t>
            </w:r>
          </w:p>
        </w:tc>
        <w:tc>
          <w:tcPr>
            <w:tcW w:type="dxa" w:w="3120"/>
            <w:shd w:val="clear" w:color="auto" w:fill="F0F4F8"/>
          </w:tcPr>
          <w:p>
            <w:r>
              <w:rPr>
                <w:rFonts w:ascii="Calibri" w:hAnsi="Calibri"/>
                <w:sz w:val="24"/>
              </w:rPr>
              <w:t>50 GB SSD</w:t>
            </w:r>
          </w:p>
        </w:tc>
      </w:tr>
      <w:tr>
        <w:tc>
          <w:tcPr>
            <w:tcW w:type="dxa" w:w="3120"/>
            <w:shd w:val="clear" w:color="auto" w:fill="FFFFFF"/>
          </w:tcPr>
          <w:p>
            <w:r>
              <w:rPr>
                <w:rFonts w:ascii="Calibri" w:hAnsi="Calibri"/>
                <w:sz w:val="24"/>
              </w:rPr>
              <w:t>OS</w:t>
            </w:r>
          </w:p>
        </w:tc>
        <w:tc>
          <w:tcPr>
            <w:tcW w:type="dxa" w:w="3120"/>
            <w:shd w:val="clear" w:color="auto" w:fill="FFFFFF"/>
          </w:tcPr>
          <w:p>
            <w:r>
              <w:rPr>
                <w:rFonts w:ascii="Calibri" w:hAnsi="Calibri"/>
                <w:sz w:val="24"/>
              </w:rPr>
              <w:t>Ubuntu 20.04 LTS</w:t>
            </w:r>
          </w:p>
        </w:tc>
        <w:tc>
          <w:tcPr>
            <w:tcW w:type="dxa" w:w="3120"/>
            <w:shd w:val="clear" w:color="auto" w:fill="FFFFFF"/>
          </w:tcPr>
          <w:p>
            <w:r>
              <w:rPr>
                <w:rFonts w:ascii="Calibri" w:hAnsi="Calibri"/>
                <w:sz w:val="24"/>
              </w:rPr>
              <w:t>Ubuntu 22.04 LTS</w:t>
            </w:r>
          </w:p>
        </w:tc>
      </w:tr>
      <w:tr>
        <w:tc>
          <w:tcPr>
            <w:tcW w:type="dxa" w:w="3120"/>
            <w:shd w:val="clear" w:color="auto" w:fill="F0F4F8"/>
          </w:tcPr>
          <w:p>
            <w:r>
              <w:rPr>
                <w:rFonts w:ascii="Calibri" w:hAnsi="Calibri"/>
                <w:sz w:val="24"/>
              </w:rPr>
              <w:t>Network Interfaces</w:t>
            </w:r>
          </w:p>
        </w:tc>
        <w:tc>
          <w:tcPr>
            <w:tcW w:type="dxa" w:w="3120"/>
            <w:shd w:val="clear" w:color="auto" w:fill="F0F4F8"/>
          </w:tcPr>
          <w:p>
            <w:r>
              <w:rPr>
                <w:rFonts w:ascii="Calibri" w:hAnsi="Calibri"/>
                <w:sz w:val="24"/>
              </w:rPr>
              <w:t>1x Ethernet (1 Gbps)</w:t>
            </w:r>
          </w:p>
        </w:tc>
        <w:tc>
          <w:tcPr>
            <w:tcW w:type="dxa" w:w="3120"/>
            <w:shd w:val="clear" w:color="auto" w:fill="F0F4F8"/>
          </w:tcPr>
          <w:p>
            <w:r>
              <w:rPr>
                <w:rFonts w:ascii="Calibri" w:hAnsi="Calibri"/>
                <w:sz w:val="24"/>
              </w:rPr>
              <w:t>1x Ethernet + 1x USB WiFi (AR9271)</w:t>
            </w:r>
          </w:p>
        </w:tc>
      </w:tr>
      <w:tr>
        <w:tc>
          <w:tcPr>
            <w:tcW w:type="dxa" w:w="3120"/>
            <w:shd w:val="clear" w:color="auto" w:fill="FFFFFF"/>
          </w:tcPr>
          <w:p>
            <w:r>
              <w:rPr>
                <w:rFonts w:ascii="Calibri" w:hAnsi="Calibri"/>
                <w:sz w:val="24"/>
              </w:rPr>
              <w:t>Docker</w:t>
            </w:r>
          </w:p>
        </w:tc>
        <w:tc>
          <w:tcPr>
            <w:tcW w:type="dxa" w:w="3120"/>
            <w:shd w:val="clear" w:color="auto" w:fill="FFFFFF"/>
          </w:tcPr>
          <w:p>
            <w:r>
              <w:rPr>
                <w:rFonts w:ascii="Calibri" w:hAnsi="Calibri"/>
                <w:sz w:val="24"/>
              </w:rPr>
              <w:t>Docker Engine 20.x</w:t>
            </w:r>
          </w:p>
        </w:tc>
        <w:tc>
          <w:tcPr>
            <w:tcW w:type="dxa" w:w="3120"/>
            <w:shd w:val="clear" w:color="auto" w:fill="FFFFFF"/>
          </w:tcPr>
          <w:p>
            <w:r>
              <w:rPr>
                <w:rFonts w:ascii="Calibri" w:hAnsi="Calibri"/>
                <w:sz w:val="24"/>
              </w:rPr>
              <w:t>Docker Engine 24.x + Compose V2</w:t>
            </w:r>
          </w:p>
        </w:tc>
      </w:tr>
      <w:tr>
        <w:tc>
          <w:tcPr>
            <w:tcW w:type="dxa" w:w="3120"/>
            <w:shd w:val="clear" w:color="auto" w:fill="F0F4F8"/>
          </w:tcPr>
          <w:p>
            <w:r>
              <w:rPr>
                <w:rFonts w:ascii="Calibri" w:hAnsi="Calibri"/>
                <w:sz w:val="24"/>
              </w:rPr>
              <w:t>Kernel</w:t>
            </w:r>
          </w:p>
        </w:tc>
        <w:tc>
          <w:tcPr>
            <w:tcW w:type="dxa" w:w="3120"/>
            <w:shd w:val="clear" w:color="auto" w:fill="F0F4F8"/>
          </w:tcPr>
          <w:p>
            <w:r>
              <w:rPr>
                <w:rFonts w:ascii="Calibri" w:hAnsi="Calibri"/>
                <w:sz w:val="24"/>
              </w:rPr>
              <w:t>Linux 5.4 (nftables support)</w:t>
            </w:r>
          </w:p>
        </w:tc>
        <w:tc>
          <w:tcPr>
            <w:tcW w:type="dxa" w:w="3120"/>
            <w:shd w:val="clear" w:color="auto" w:fill="F0F4F8"/>
          </w:tcPr>
          <w:p>
            <w:r>
              <w:rPr>
                <w:rFonts w:ascii="Calibri" w:hAnsi="Calibri"/>
                <w:sz w:val="24"/>
              </w:rPr>
              <w:t>Linux 5.15 LTS</w:t>
            </w:r>
          </w:p>
        </w:tc>
      </w:tr>
      <w:tr>
        <w:tc>
          <w:tcPr>
            <w:tcW w:type="dxa" w:w="3120"/>
            <w:shd w:val="clear" w:color="auto" w:fill="FFFFFF"/>
          </w:tcPr>
          <w:p>
            <w:r>
              <w:rPr>
                <w:rFonts w:ascii="Calibri" w:hAnsi="Calibri"/>
                <w:sz w:val="24"/>
              </w:rPr>
              <w:t>WiFi Adapter</w:t>
            </w:r>
          </w:p>
        </w:tc>
        <w:tc>
          <w:tcPr>
            <w:tcW w:type="dxa" w:w="3120"/>
            <w:shd w:val="clear" w:color="auto" w:fill="FFFFFF"/>
          </w:tcPr>
          <w:p>
            <w:r>
              <w:rPr>
                <w:rFonts w:ascii="Calibri" w:hAnsi="Calibri"/>
                <w:sz w:val="24"/>
              </w:rPr>
              <w:t>Any monitor-mode capable adapter</w:t>
            </w:r>
          </w:p>
        </w:tc>
        <w:tc>
          <w:tcPr>
            <w:tcW w:type="dxa" w:w="3120"/>
            <w:shd w:val="clear" w:color="auto" w:fill="FFFFFF"/>
          </w:tcPr>
          <w:p>
            <w:r>
              <w:rPr>
                <w:rFonts w:ascii="Calibri" w:hAnsi="Calibri"/>
                <w:sz w:val="24"/>
              </w:rPr>
              <w:t>Atheros AR9271 (TP-Link TL-WN722N v1)</w:t>
            </w:r>
          </w:p>
        </w:tc>
      </w:tr>
    </w:tbl>
    <w:p>
      <w:pPr>
        <w:spacing w:before="0" w:after="120" w:line="360" w:lineRule="auto"/>
        <w:jc w:val="center"/>
      </w:pPr>
      <w:r>
        <w:rPr>
          <w:rFonts w:ascii="Calibri" w:hAnsi="Calibri"/>
          <w:b w:val="0"/>
          <w:i/>
          <w:sz w:val="24"/>
        </w:rPr>
        <w:t>Table 3.7: System hardware requirements and the actual test deployment configuration.</w:t>
      </w:r>
    </w:p>
    <w:p>
      <w:pPr>
        <w:spacing w:before="0" w:after="120" w:line="360" w:lineRule="auto"/>
        <w:jc w:val="both"/>
      </w:pPr>
      <w:r>
        <w:rPr>
          <w:rFonts w:ascii="Calibri" w:hAnsi="Calibri"/>
          <w:b w:val="0"/>
          <w:i w:val="0"/>
          <w:sz w:val="24"/>
        </w:rPr>
        <w:t>CPU utilization during active attack scenarios peaks at approximately 35–45% on the test hardware, with the Isolation Forest scoring and packet capture consuming the largest shares. Memory consumption across all Docker containers combined remains below 1.2 GB in steady state. These figures confirm that the system can operate on hardware available in most university laboratory environments without requiring dedicated server-grade equipment.</w:t>
      </w:r>
    </w:p>
    <w:sectPr w:rsidR="00FC693F" w:rsidRPr="0006063C" w:rsidSect="00034616">
      <w:pgSz w:w="12240" w:h="15840"/>
      <w:pgMar w:top="1440"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60" w:lineRule="auto"/>
      <w:jc w:val="both"/>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