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3A5C"/>
          <w:sz w:val="26"/>
        </w:rPr>
        <w:t>CHAPTER 5</w:t>
      </w:r>
    </w:p>
    <w:p>
      <w:pPr>
        <w:spacing w:before="240" w:after="120" w:line="360" w:lineRule="auto"/>
        <w:jc w:val="center"/>
      </w:pPr>
      <w:r>
        <w:rPr>
          <w:rFonts w:ascii="Calibri" w:hAnsi="Calibri"/>
          <w:b/>
          <w:i w:val="0"/>
          <w:sz w:val="28"/>
        </w:rPr>
        <w:t>Testing and Demonstration</w:t>
      </w:r>
    </w:p>
    <w:p>
      <w:pPr>
        <w:spacing w:before="240" w:after="120" w:line="360" w:lineRule="auto"/>
      </w:pPr>
      <w:r>
        <w:rPr>
          <w:rFonts w:ascii="Calibri" w:hAnsi="Calibri"/>
          <w:b/>
          <w:i w:val="0"/>
          <w:sz w:val="26"/>
        </w:rPr>
        <w:t>5.1 Test Environment Setup</w:t>
      </w:r>
    </w:p>
    <w:p>
      <w:pPr>
        <w:spacing w:before="0" w:after="120" w:line="360" w:lineRule="auto"/>
        <w:jc w:val="both"/>
      </w:pPr>
      <w:r>
        <w:rPr>
          <w:rFonts w:ascii="Calibri" w:hAnsi="Calibri"/>
          <w:b w:val="0"/>
          <w:i w:val="0"/>
          <w:sz w:val="24"/>
        </w:rPr>
        <w:t>The test environment consists of three physical machines connected through a managed Ethernet switch, with the NTTH host positioned inline between the switch and the gateway router. The three nodes are: the NTTH host (Ubuntu 22.04, described in Chapter 4), a victim host (Ubuntu 22.04 server, running SSH, Nginx, and a simulated FTP service), and an attacker machine (Kali Linux 2024.1, used to execute all controlled attack scenarios).</w:t>
      </w:r>
    </w:p>
    <w:p>
      <w:pPr>
        <w:spacing w:before="0" w:after="120" w:line="360" w:lineRule="auto"/>
        <w:jc w:val="both"/>
      </w:pPr>
      <w:r>
        <w:rPr>
          <w:rFonts w:ascii="Calibri" w:hAnsi="Calibri"/>
          <w:b w:val="0"/>
          <w:i w:val="0"/>
          <w:sz w:val="24"/>
        </w:rPr>
        <w:t>All three machines are on the same /24 subnet (192.168.1.0/24) with the NTTH host at 192.168.1.1, the victim at 192.168.1.100, and the attacker at 192.168.1.200. Before each attack experiment, the NTTH database is cleared, all active firewall rules are flushed, and the Isolation Forest model is confirmed to be loaded and healthy via the /api/v1/health endpoint. A baseline 5-minute idle period is recorded after clearing to confirm that no false positive alerts are generated before the attack scenario begins.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B3A5C"/>
          </w:tcPr>
          <w:p>
            <w:pPr>
              <w:jc w:val="left"/>
            </w:pPr>
            <w:r>
              <w:rPr>
                <w:rFonts w:ascii="Calibri" w:hAnsi="Calibri"/>
                <w:b/>
                <w:color w:val="FFFFFF"/>
                <w:sz w:val="24"/>
              </w:rPr>
              <w:t>Machine</w:t>
            </w:r>
          </w:p>
        </w:tc>
        <w:tc>
          <w:tcPr>
            <w:tcW w:type="dxa" w:w="1872"/>
            <w:shd w:val="clear" w:color="auto" w:fill="1B3A5C"/>
          </w:tcPr>
          <w:p>
            <w:pPr>
              <w:jc w:val="left"/>
            </w:pPr>
            <w:r>
              <w:rPr>
                <w:rFonts w:ascii="Calibri" w:hAnsi="Calibri"/>
                <w:b/>
                <w:color w:val="FFFFFF"/>
                <w:sz w:val="24"/>
              </w:rPr>
              <w:t>Role</w:t>
            </w:r>
          </w:p>
        </w:tc>
        <w:tc>
          <w:tcPr>
            <w:tcW w:type="dxa" w:w="1872"/>
            <w:shd w:val="clear" w:color="auto" w:fill="1B3A5C"/>
          </w:tcPr>
          <w:p>
            <w:pPr>
              <w:jc w:val="left"/>
            </w:pPr>
            <w:r>
              <w:rPr>
                <w:rFonts w:ascii="Calibri" w:hAnsi="Calibri"/>
                <w:b/>
                <w:color w:val="FFFFFF"/>
                <w:sz w:val="24"/>
              </w:rPr>
              <w:t>OS</w:t>
            </w:r>
          </w:p>
        </w:tc>
        <w:tc>
          <w:tcPr>
            <w:tcW w:type="dxa" w:w="1872"/>
            <w:shd w:val="clear" w:color="auto" w:fill="1B3A5C"/>
          </w:tcPr>
          <w:p>
            <w:pPr>
              <w:jc w:val="left"/>
            </w:pPr>
            <w:r>
              <w:rPr>
                <w:rFonts w:ascii="Calibri" w:hAnsi="Calibri"/>
                <w:b/>
                <w:color w:val="FFFFFF"/>
                <w:sz w:val="24"/>
              </w:rPr>
              <w:t>IP Address</w:t>
            </w:r>
          </w:p>
        </w:tc>
        <w:tc>
          <w:tcPr>
            <w:tcW w:type="dxa" w:w="1872"/>
            <w:shd w:val="clear" w:color="auto" w:fill="1B3A5C"/>
          </w:tcPr>
          <w:p>
            <w:pPr>
              <w:jc w:val="left"/>
            </w:pPr>
            <w:r>
              <w:rPr>
                <w:rFonts w:ascii="Calibri" w:hAnsi="Calibri"/>
                <w:b/>
                <w:color w:val="FFFFFF"/>
                <w:sz w:val="24"/>
              </w:rPr>
              <w:t>Services</w:t>
            </w:r>
          </w:p>
        </w:tc>
      </w:tr>
      <w:tr>
        <w:tc>
          <w:tcPr>
            <w:tcW w:type="dxa" w:w="1872"/>
            <w:shd w:val="clear" w:color="auto" w:fill="F0F4F8"/>
          </w:tcPr>
          <w:p>
            <w:r>
              <w:rPr>
                <w:rFonts w:ascii="Calibri" w:hAnsi="Calibri"/>
                <w:sz w:val="24"/>
              </w:rPr>
              <w:t>NTTH Host</w:t>
            </w:r>
          </w:p>
        </w:tc>
        <w:tc>
          <w:tcPr>
            <w:tcW w:type="dxa" w:w="1872"/>
            <w:shd w:val="clear" w:color="auto" w:fill="F0F4F8"/>
          </w:tcPr>
          <w:p>
            <w:r>
              <w:rPr>
                <w:rFonts w:ascii="Calibri" w:hAnsi="Calibri"/>
                <w:sz w:val="24"/>
              </w:rPr>
              <w:t>Defense system</w:t>
            </w:r>
          </w:p>
        </w:tc>
        <w:tc>
          <w:tcPr>
            <w:tcW w:type="dxa" w:w="1872"/>
            <w:shd w:val="clear" w:color="auto" w:fill="F0F4F8"/>
          </w:tcPr>
          <w:p>
            <w:r>
              <w:rPr>
                <w:rFonts w:ascii="Calibri" w:hAnsi="Calibri"/>
                <w:sz w:val="24"/>
              </w:rPr>
              <w:t>Ubuntu 22.04</w:t>
            </w:r>
          </w:p>
        </w:tc>
        <w:tc>
          <w:tcPr>
            <w:tcW w:type="dxa" w:w="1872"/>
            <w:shd w:val="clear" w:color="auto" w:fill="F0F4F8"/>
          </w:tcPr>
          <w:p>
            <w:r>
              <w:rPr>
                <w:rFonts w:ascii="Calibri" w:hAnsi="Calibri"/>
                <w:sz w:val="24"/>
              </w:rPr>
              <w:t>192.168.1.1</w:t>
            </w:r>
          </w:p>
        </w:tc>
        <w:tc>
          <w:tcPr>
            <w:tcW w:type="dxa" w:w="1872"/>
            <w:shd w:val="clear" w:color="auto" w:fill="F0F4F8"/>
          </w:tcPr>
          <w:p>
            <w:r>
              <w:rPr>
                <w:rFonts w:ascii="Calibri" w:hAnsi="Calibri"/>
                <w:sz w:val="24"/>
              </w:rPr>
              <w:t>All NTTH agents, API, Dashboard</w:t>
            </w:r>
          </w:p>
        </w:tc>
      </w:tr>
      <w:tr>
        <w:tc>
          <w:tcPr>
            <w:tcW w:type="dxa" w:w="1872"/>
            <w:shd w:val="clear" w:color="auto" w:fill="FFFFFF"/>
          </w:tcPr>
          <w:p>
            <w:r>
              <w:rPr>
                <w:rFonts w:ascii="Calibri" w:hAnsi="Calibri"/>
                <w:sz w:val="24"/>
              </w:rPr>
              <w:t>Victim Host</w:t>
            </w:r>
          </w:p>
        </w:tc>
        <w:tc>
          <w:tcPr>
            <w:tcW w:type="dxa" w:w="1872"/>
            <w:shd w:val="clear" w:color="auto" w:fill="FFFFFF"/>
          </w:tcPr>
          <w:p>
            <w:r>
              <w:rPr>
                <w:rFonts w:ascii="Calibri" w:hAnsi="Calibri"/>
                <w:sz w:val="24"/>
              </w:rPr>
              <w:t>Target machine</w:t>
            </w:r>
          </w:p>
        </w:tc>
        <w:tc>
          <w:tcPr>
            <w:tcW w:type="dxa" w:w="1872"/>
            <w:shd w:val="clear" w:color="auto" w:fill="FFFFFF"/>
          </w:tcPr>
          <w:p>
            <w:r>
              <w:rPr>
                <w:rFonts w:ascii="Calibri" w:hAnsi="Calibri"/>
                <w:sz w:val="24"/>
              </w:rPr>
              <w:t>Ubuntu 22.04</w:t>
            </w:r>
          </w:p>
        </w:tc>
        <w:tc>
          <w:tcPr>
            <w:tcW w:type="dxa" w:w="1872"/>
            <w:shd w:val="clear" w:color="auto" w:fill="FFFFFF"/>
          </w:tcPr>
          <w:p>
            <w:r>
              <w:rPr>
                <w:rFonts w:ascii="Calibri" w:hAnsi="Calibri"/>
                <w:sz w:val="24"/>
              </w:rPr>
              <w:t>192.168.1.100</w:t>
            </w:r>
          </w:p>
        </w:tc>
        <w:tc>
          <w:tcPr>
            <w:tcW w:type="dxa" w:w="1872"/>
            <w:shd w:val="clear" w:color="auto" w:fill="FFFFFF"/>
          </w:tcPr>
          <w:p>
            <w:r>
              <w:rPr>
                <w:rFonts w:ascii="Calibri" w:hAnsi="Calibri"/>
                <w:sz w:val="24"/>
              </w:rPr>
              <w:t>SSH (22), HTTP (80), FTP (21)</w:t>
            </w:r>
          </w:p>
        </w:tc>
      </w:tr>
      <w:tr>
        <w:tc>
          <w:tcPr>
            <w:tcW w:type="dxa" w:w="1872"/>
            <w:shd w:val="clear" w:color="auto" w:fill="F0F4F8"/>
          </w:tcPr>
          <w:p>
            <w:r>
              <w:rPr>
                <w:rFonts w:ascii="Calibri" w:hAnsi="Calibri"/>
                <w:sz w:val="24"/>
              </w:rPr>
              <w:t>Attacker</w:t>
            </w:r>
          </w:p>
        </w:tc>
        <w:tc>
          <w:tcPr>
            <w:tcW w:type="dxa" w:w="1872"/>
            <w:shd w:val="clear" w:color="auto" w:fill="F0F4F8"/>
          </w:tcPr>
          <w:p>
            <w:r>
              <w:rPr>
                <w:rFonts w:ascii="Calibri" w:hAnsi="Calibri"/>
                <w:sz w:val="24"/>
              </w:rPr>
              <w:t>Attack origin</w:t>
            </w:r>
          </w:p>
        </w:tc>
        <w:tc>
          <w:tcPr>
            <w:tcW w:type="dxa" w:w="1872"/>
            <w:shd w:val="clear" w:color="auto" w:fill="F0F4F8"/>
          </w:tcPr>
          <w:p>
            <w:r>
              <w:rPr>
                <w:rFonts w:ascii="Calibri" w:hAnsi="Calibri"/>
                <w:sz w:val="24"/>
              </w:rPr>
              <w:t>Kali Linux 2024.1</w:t>
            </w:r>
          </w:p>
        </w:tc>
        <w:tc>
          <w:tcPr>
            <w:tcW w:type="dxa" w:w="1872"/>
            <w:shd w:val="clear" w:color="auto" w:fill="F0F4F8"/>
          </w:tcPr>
          <w:p>
            <w:r>
              <w:rPr>
                <w:rFonts w:ascii="Calibri" w:hAnsi="Calibri"/>
                <w:sz w:val="24"/>
              </w:rPr>
              <w:t>192.168.1.200</w:t>
            </w:r>
          </w:p>
        </w:tc>
        <w:tc>
          <w:tcPr>
            <w:tcW w:type="dxa" w:w="1872"/>
            <w:shd w:val="clear" w:color="auto" w:fill="F0F4F8"/>
          </w:tcPr>
          <w:p>
            <w:r>
              <w:rPr>
                <w:rFonts w:ascii="Calibri" w:hAnsi="Calibri"/>
                <w:sz w:val="24"/>
              </w:rPr>
              <w:t>Nmap, Hydra, hping3, arpspoof, Metasploit</w:t>
            </w:r>
          </w:p>
        </w:tc>
      </w:tr>
    </w:tbl>
    <w:p>
      <w:pPr>
        <w:spacing w:before="240" w:after="120" w:line="360" w:lineRule="auto"/>
      </w:pPr>
      <w:r>
        <w:rPr>
          <w:rFonts w:ascii="Calibri" w:hAnsi="Calibri"/>
          <w:b/>
          <w:i w:val="0"/>
          <w:sz w:val="26"/>
        </w:rPr>
        <w:t>5.2 Attack Testing Methodology</w:t>
      </w:r>
    </w:p>
    <w:p>
      <w:pPr>
        <w:spacing w:before="0" w:after="120" w:line="360" w:lineRule="auto"/>
        <w:jc w:val="both"/>
      </w:pPr>
      <w:r>
        <w:rPr>
          <w:rFonts w:ascii="Calibri" w:hAnsi="Calibri"/>
          <w:b w:val="0"/>
          <w:i w:val="0"/>
          <w:sz w:val="24"/>
        </w:rPr>
        <w:t>Six attack categories were tested, selected to cover both the IDS rule engine's known detection capabilities and the Isolation Forest's anomaly detection domain. Each category was executed three times with different parameter configurations, and the minimum, maximum, and median response times and detection outcomes were recorded. All attacks were executed using standard Kali Linux tools without any evasion techniques applied.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B3A5C"/>
          </w:tcPr>
          <w:p>
            <w:pPr>
              <w:jc w:val="left"/>
            </w:pPr>
            <w:r>
              <w:rPr>
                <w:rFonts w:ascii="Calibri" w:hAnsi="Calibri"/>
                <w:b/>
                <w:color w:val="FFFFFF"/>
                <w:sz w:val="24"/>
              </w:rPr>
              <w:t>Scenario</w:t>
            </w:r>
          </w:p>
        </w:tc>
        <w:tc>
          <w:tcPr>
            <w:tcW w:type="dxa" w:w="1872"/>
            <w:shd w:val="clear" w:color="auto" w:fill="1B3A5C"/>
          </w:tcPr>
          <w:p>
            <w:pPr>
              <w:jc w:val="left"/>
            </w:pPr>
            <w:r>
              <w:rPr>
                <w:rFonts w:ascii="Calibri" w:hAnsi="Calibri"/>
                <w:b/>
                <w:color w:val="FFFFFF"/>
                <w:sz w:val="24"/>
              </w:rPr>
              <w:t>Tool Used</w:t>
            </w:r>
          </w:p>
        </w:tc>
        <w:tc>
          <w:tcPr>
            <w:tcW w:type="dxa" w:w="1872"/>
            <w:shd w:val="clear" w:color="auto" w:fill="1B3A5C"/>
          </w:tcPr>
          <w:p>
            <w:pPr>
              <w:jc w:val="left"/>
            </w:pPr>
            <w:r>
              <w:rPr>
                <w:rFonts w:ascii="Calibri" w:hAnsi="Calibri"/>
                <w:b/>
                <w:color w:val="FFFFFF"/>
                <w:sz w:val="24"/>
              </w:rPr>
              <w:t>Attack Parameters</w:t>
            </w:r>
          </w:p>
        </w:tc>
        <w:tc>
          <w:tcPr>
            <w:tcW w:type="dxa" w:w="1872"/>
            <w:shd w:val="clear" w:color="auto" w:fill="1B3A5C"/>
          </w:tcPr>
          <w:p>
            <w:pPr>
              <w:jc w:val="left"/>
            </w:pPr>
            <w:r>
              <w:rPr>
                <w:rFonts w:ascii="Calibri" w:hAnsi="Calibri"/>
                <w:b/>
                <w:color w:val="FFFFFF"/>
                <w:sz w:val="24"/>
              </w:rPr>
              <w:t>Expected Detection</w:t>
            </w:r>
          </w:p>
        </w:tc>
        <w:tc>
          <w:tcPr>
            <w:tcW w:type="dxa" w:w="1872"/>
            <w:shd w:val="clear" w:color="auto" w:fill="1B3A5C"/>
          </w:tcPr>
          <w:p>
            <w:pPr>
              <w:jc w:val="left"/>
            </w:pPr>
            <w:r>
              <w:rPr>
                <w:rFonts w:ascii="Calibri" w:hAnsi="Calibri"/>
                <w:b/>
                <w:color w:val="FFFFFF"/>
                <w:sz w:val="24"/>
              </w:rPr>
              <w:t>Expected Action</w:t>
            </w:r>
          </w:p>
        </w:tc>
      </w:tr>
      <w:tr>
        <w:tc>
          <w:tcPr>
            <w:tcW w:type="dxa" w:w="1872"/>
            <w:shd w:val="clear" w:color="auto" w:fill="F0F4F8"/>
          </w:tcPr>
          <w:p>
            <w:r>
              <w:rPr>
                <w:rFonts w:ascii="Calibri" w:hAnsi="Calibri"/>
                <w:sz w:val="24"/>
              </w:rPr>
              <w:t>T1: SYN Flood</w:t>
            </w:r>
          </w:p>
        </w:tc>
        <w:tc>
          <w:tcPr>
            <w:tcW w:type="dxa" w:w="1872"/>
            <w:shd w:val="clear" w:color="auto" w:fill="F0F4F8"/>
          </w:tcPr>
          <w:p>
            <w:r>
              <w:rPr>
                <w:rFonts w:ascii="Calibri" w:hAnsi="Calibri"/>
                <w:sz w:val="24"/>
              </w:rPr>
              <w:t>hping3</w:t>
            </w:r>
          </w:p>
        </w:tc>
        <w:tc>
          <w:tcPr>
            <w:tcW w:type="dxa" w:w="1872"/>
            <w:shd w:val="clear" w:color="auto" w:fill="F0F4F8"/>
          </w:tcPr>
          <w:p>
            <w:r>
              <w:rPr>
                <w:rFonts w:ascii="Calibri" w:hAnsi="Calibri"/>
                <w:sz w:val="24"/>
              </w:rPr>
              <w:t>hping3 -S --flood -p 80 192.168.1.100</w:t>
            </w:r>
          </w:p>
        </w:tc>
        <w:tc>
          <w:tcPr>
            <w:tcW w:type="dxa" w:w="1872"/>
            <w:shd w:val="clear" w:color="auto" w:fill="F0F4F8"/>
          </w:tcPr>
          <w:p>
            <w:r>
              <w:rPr>
                <w:rFonts w:ascii="Calibri" w:hAnsi="Calibri"/>
                <w:sz w:val="24"/>
              </w:rPr>
              <w:t>SYN_FLOOD rule + high anomaly</w:t>
            </w:r>
          </w:p>
        </w:tc>
        <w:tc>
          <w:tcPr>
            <w:tcW w:type="dxa" w:w="1872"/>
            <w:shd w:val="clear" w:color="auto" w:fill="F0F4F8"/>
          </w:tcPr>
          <w:p>
            <w:r>
              <w:rPr>
                <w:rFonts w:ascii="Calibri" w:hAnsi="Calibri"/>
                <w:sz w:val="24"/>
              </w:rPr>
              <w:t>BLOCK or REDIRECT</w:t>
            </w:r>
          </w:p>
        </w:tc>
      </w:tr>
      <w:tr>
        <w:tc>
          <w:tcPr>
            <w:tcW w:type="dxa" w:w="1872"/>
            <w:shd w:val="clear" w:color="auto" w:fill="FFFFFF"/>
          </w:tcPr>
          <w:p>
            <w:r>
              <w:rPr>
                <w:rFonts w:ascii="Calibri" w:hAnsi="Calibri"/>
                <w:sz w:val="24"/>
              </w:rPr>
              <w:t>T2: Port Scan (SYN)</w:t>
            </w:r>
          </w:p>
        </w:tc>
        <w:tc>
          <w:tcPr>
            <w:tcW w:type="dxa" w:w="1872"/>
            <w:shd w:val="clear" w:color="auto" w:fill="FFFFFF"/>
          </w:tcPr>
          <w:p>
            <w:r>
              <w:rPr>
                <w:rFonts w:ascii="Calibri" w:hAnsi="Calibri"/>
                <w:sz w:val="24"/>
              </w:rPr>
              <w:t>Nmap</w:t>
            </w:r>
          </w:p>
        </w:tc>
        <w:tc>
          <w:tcPr>
            <w:tcW w:type="dxa" w:w="1872"/>
            <w:shd w:val="clear" w:color="auto" w:fill="FFFFFF"/>
          </w:tcPr>
          <w:p>
            <w:r>
              <w:rPr>
                <w:rFonts w:ascii="Calibri" w:hAnsi="Calibri"/>
                <w:sz w:val="24"/>
              </w:rPr>
              <w:t>nmap -sS -p 1-65535 192.168.1.100</w:t>
            </w:r>
          </w:p>
        </w:tc>
        <w:tc>
          <w:tcPr>
            <w:tcW w:type="dxa" w:w="1872"/>
            <w:shd w:val="clear" w:color="auto" w:fill="FFFFFF"/>
          </w:tcPr>
          <w:p>
            <w:r>
              <w:rPr>
                <w:rFonts w:ascii="Calibri" w:hAnsi="Calibri"/>
                <w:sz w:val="24"/>
              </w:rPr>
              <w:t>PORT_SCAN rule</w:t>
            </w:r>
          </w:p>
        </w:tc>
        <w:tc>
          <w:tcPr>
            <w:tcW w:type="dxa" w:w="1872"/>
            <w:shd w:val="clear" w:color="auto" w:fill="FFFFFF"/>
          </w:tcPr>
          <w:p>
            <w:r>
              <w:rPr>
                <w:rFonts w:ascii="Calibri" w:hAnsi="Calibri"/>
                <w:sz w:val="24"/>
              </w:rPr>
              <w:t>BLOCK</w:t>
            </w:r>
          </w:p>
        </w:tc>
      </w:tr>
      <w:tr>
        <w:tc>
          <w:tcPr>
            <w:tcW w:type="dxa" w:w="1872"/>
            <w:shd w:val="clear" w:color="auto" w:fill="F0F4F8"/>
          </w:tcPr>
          <w:p>
            <w:r>
              <w:rPr>
                <w:rFonts w:ascii="Calibri" w:hAnsi="Calibri"/>
                <w:sz w:val="24"/>
              </w:rPr>
              <w:t>T3: SSH Brute Force</w:t>
            </w:r>
          </w:p>
        </w:tc>
        <w:tc>
          <w:tcPr>
            <w:tcW w:type="dxa" w:w="1872"/>
            <w:shd w:val="clear" w:color="auto" w:fill="F0F4F8"/>
          </w:tcPr>
          <w:p>
            <w:r>
              <w:rPr>
                <w:rFonts w:ascii="Calibri" w:hAnsi="Calibri"/>
                <w:sz w:val="24"/>
              </w:rPr>
              <w:t>Hydra</w:t>
            </w:r>
          </w:p>
        </w:tc>
        <w:tc>
          <w:tcPr>
            <w:tcW w:type="dxa" w:w="1872"/>
            <w:shd w:val="clear" w:color="auto" w:fill="F0F4F8"/>
          </w:tcPr>
          <w:p>
            <w:r>
              <w:rPr>
                <w:rFonts w:ascii="Calibri" w:hAnsi="Calibri"/>
                <w:sz w:val="24"/>
              </w:rPr>
              <w:t>hydra -l root -P rockyou.txt ssh://192.168.1.100</w:t>
            </w:r>
          </w:p>
        </w:tc>
        <w:tc>
          <w:tcPr>
            <w:tcW w:type="dxa" w:w="1872"/>
            <w:shd w:val="clear" w:color="auto" w:fill="F0F4F8"/>
          </w:tcPr>
          <w:p>
            <w:r>
              <w:rPr>
                <w:rFonts w:ascii="Calibri" w:hAnsi="Calibri"/>
                <w:sz w:val="24"/>
              </w:rPr>
              <w:t>SSH_BRUTE rule</w:t>
            </w:r>
          </w:p>
        </w:tc>
        <w:tc>
          <w:tcPr>
            <w:tcW w:type="dxa" w:w="1872"/>
            <w:shd w:val="clear" w:color="auto" w:fill="F0F4F8"/>
          </w:tcPr>
          <w:p>
            <w:r>
              <w:rPr>
                <w:rFonts w:ascii="Calibri" w:hAnsi="Calibri"/>
                <w:sz w:val="24"/>
              </w:rPr>
              <w:t>REDIRECT TO HONEYPOT</w:t>
            </w:r>
          </w:p>
        </w:tc>
      </w:tr>
      <w:tr>
        <w:tc>
          <w:tcPr>
            <w:tcW w:type="dxa" w:w="1872"/>
            <w:shd w:val="clear" w:color="auto" w:fill="FFFFFF"/>
          </w:tcPr>
          <w:p>
            <w:r>
              <w:rPr>
                <w:rFonts w:ascii="Calibri" w:hAnsi="Calibri"/>
                <w:sz w:val="24"/>
              </w:rPr>
              <w:t>T4: ARP Spoofing</w:t>
            </w:r>
          </w:p>
        </w:tc>
        <w:tc>
          <w:tcPr>
            <w:tcW w:type="dxa" w:w="1872"/>
            <w:shd w:val="clear" w:color="auto" w:fill="FFFFFF"/>
          </w:tcPr>
          <w:p>
            <w:r>
              <w:rPr>
                <w:rFonts w:ascii="Calibri" w:hAnsi="Calibri"/>
                <w:sz w:val="24"/>
              </w:rPr>
              <w:t>arpspoof</w:t>
            </w:r>
          </w:p>
        </w:tc>
        <w:tc>
          <w:tcPr>
            <w:tcW w:type="dxa" w:w="1872"/>
            <w:shd w:val="clear" w:color="auto" w:fill="FFFFFF"/>
          </w:tcPr>
          <w:p>
            <w:r>
              <w:rPr>
                <w:rFonts w:ascii="Calibri" w:hAnsi="Calibri"/>
                <w:sz w:val="24"/>
              </w:rPr>
              <w:t>arpspoof -i eth0 -t 192.168.1.100 192.168.1.1</w:t>
            </w:r>
          </w:p>
        </w:tc>
        <w:tc>
          <w:tcPr>
            <w:tcW w:type="dxa" w:w="1872"/>
            <w:shd w:val="clear" w:color="auto" w:fill="FFFFFF"/>
          </w:tcPr>
          <w:p>
            <w:r>
              <w:rPr>
                <w:rFonts w:ascii="Calibri" w:hAnsi="Calibri"/>
                <w:sz w:val="24"/>
              </w:rPr>
              <w:t>ARP_SPOOF rule</w:t>
            </w:r>
          </w:p>
        </w:tc>
        <w:tc>
          <w:tcPr>
            <w:tcW w:type="dxa" w:w="1872"/>
            <w:shd w:val="clear" w:color="auto" w:fill="FFFFFF"/>
          </w:tcPr>
          <w:p>
            <w:r>
              <w:rPr>
                <w:rFonts w:ascii="Calibri" w:hAnsi="Calibri"/>
                <w:sz w:val="24"/>
              </w:rPr>
              <w:t>BLOCK</w:t>
            </w:r>
          </w:p>
        </w:tc>
      </w:tr>
      <w:tr>
        <w:tc>
          <w:tcPr>
            <w:tcW w:type="dxa" w:w="1872"/>
            <w:shd w:val="clear" w:color="auto" w:fill="F0F4F8"/>
          </w:tcPr>
          <w:p>
            <w:r>
              <w:rPr>
                <w:rFonts w:ascii="Calibri" w:hAnsi="Calibri"/>
                <w:sz w:val="24"/>
              </w:rPr>
              <w:t>T5: ICMP Flood</w:t>
            </w:r>
          </w:p>
        </w:tc>
        <w:tc>
          <w:tcPr>
            <w:tcW w:type="dxa" w:w="1872"/>
            <w:shd w:val="clear" w:color="auto" w:fill="F0F4F8"/>
          </w:tcPr>
          <w:p>
            <w:r>
              <w:rPr>
                <w:rFonts w:ascii="Calibri" w:hAnsi="Calibri"/>
                <w:sz w:val="24"/>
              </w:rPr>
              <w:t>hping3</w:t>
            </w:r>
          </w:p>
        </w:tc>
        <w:tc>
          <w:tcPr>
            <w:tcW w:type="dxa" w:w="1872"/>
            <w:shd w:val="clear" w:color="auto" w:fill="F0F4F8"/>
          </w:tcPr>
          <w:p>
            <w:r>
              <w:rPr>
                <w:rFonts w:ascii="Calibri" w:hAnsi="Calibri"/>
                <w:sz w:val="24"/>
              </w:rPr>
              <w:t>hping3 --icmp --flood 192.168.1.100</w:t>
            </w:r>
          </w:p>
        </w:tc>
        <w:tc>
          <w:tcPr>
            <w:tcW w:type="dxa" w:w="1872"/>
            <w:shd w:val="clear" w:color="auto" w:fill="F0F4F8"/>
          </w:tcPr>
          <w:p>
            <w:r>
              <w:rPr>
                <w:rFonts w:ascii="Calibri" w:hAnsi="Calibri"/>
                <w:sz w:val="24"/>
              </w:rPr>
              <w:t>ICMP_FLOOD rule + anomaly</w:t>
            </w:r>
          </w:p>
        </w:tc>
        <w:tc>
          <w:tcPr>
            <w:tcW w:type="dxa" w:w="1872"/>
            <w:shd w:val="clear" w:color="auto" w:fill="F0F4F8"/>
          </w:tcPr>
          <w:p>
            <w:r>
              <w:rPr>
                <w:rFonts w:ascii="Calibri" w:hAnsi="Calibri"/>
                <w:sz w:val="24"/>
              </w:rPr>
              <w:t>THROTTLE or BLOCK</w:t>
            </w:r>
          </w:p>
        </w:tc>
      </w:tr>
      <w:tr>
        <w:tc>
          <w:tcPr>
            <w:tcW w:type="dxa" w:w="1872"/>
            <w:shd w:val="clear" w:color="auto" w:fill="FFFFFF"/>
          </w:tcPr>
          <w:p>
            <w:r>
              <w:rPr>
                <w:rFonts w:ascii="Calibri" w:hAnsi="Calibri"/>
                <w:sz w:val="24"/>
              </w:rPr>
              <w:t>T6: Slow-rate HTTP Fuzz</w:t>
            </w:r>
          </w:p>
        </w:tc>
        <w:tc>
          <w:tcPr>
            <w:tcW w:type="dxa" w:w="1872"/>
            <w:shd w:val="clear" w:color="auto" w:fill="FFFFFF"/>
          </w:tcPr>
          <w:p>
            <w:r>
              <w:rPr>
                <w:rFonts w:ascii="Calibri" w:hAnsi="Calibri"/>
                <w:sz w:val="24"/>
              </w:rPr>
              <w:t>Custom Python</w:t>
            </w:r>
          </w:p>
        </w:tc>
        <w:tc>
          <w:tcPr>
            <w:tcW w:type="dxa" w:w="1872"/>
            <w:shd w:val="clear" w:color="auto" w:fill="FFFFFF"/>
          </w:tcPr>
          <w:p>
            <w:r>
              <w:rPr>
                <w:rFonts w:ascii="Calibri" w:hAnsi="Calibri"/>
                <w:sz w:val="24"/>
              </w:rPr>
              <w:t>200 GET requests/min with randomized URIs</w:t>
            </w:r>
          </w:p>
        </w:tc>
        <w:tc>
          <w:tcPr>
            <w:tcW w:type="dxa" w:w="1872"/>
            <w:shd w:val="clear" w:color="auto" w:fill="FFFFFF"/>
          </w:tcPr>
          <w:p>
            <w:r>
              <w:rPr>
                <w:rFonts w:ascii="Calibri" w:hAnsi="Calibri"/>
                <w:sz w:val="24"/>
              </w:rPr>
              <w:t>Anomaly detection only</w:t>
            </w:r>
          </w:p>
        </w:tc>
        <w:tc>
          <w:tcPr>
            <w:tcW w:type="dxa" w:w="1872"/>
            <w:shd w:val="clear" w:color="auto" w:fill="FFFFFF"/>
          </w:tcPr>
          <w:p>
            <w:r>
              <w:rPr>
                <w:rFonts w:ascii="Calibri" w:hAnsi="Calibri"/>
                <w:sz w:val="24"/>
              </w:rPr>
              <w:t>ALERT or THROTTLE</w:t>
            </w:r>
          </w:p>
        </w:tc>
      </w:tr>
    </w:tbl>
    <w:p>
      <w:pPr>
        <w:spacing w:before="0" w:after="120" w:line="360" w:lineRule="auto"/>
        <w:jc w:val="center"/>
      </w:pPr>
      <w:r>
        <w:rPr>
          <w:rFonts w:ascii="Calibri" w:hAnsi="Calibri"/>
          <w:b w:val="0"/>
          <w:i/>
          <w:sz w:val="24"/>
        </w:rPr>
        <w:t>Table 5.1: Attack testing scenarios with tools, parameters, and expected detection outcomes.</w:t>
      </w:r>
    </w:p>
    <w:p>
      <w:pPr>
        <w:spacing w:before="0" w:after="120" w:line="360" w:lineRule="auto"/>
        <w:jc w:val="both"/>
      </w:pPr>
      <w:r>
        <w:rPr>
          <w:rFonts w:ascii="Calibri" w:hAnsi="Calibri"/>
          <w:b w:val="0"/>
          <w:i w:val="0"/>
          <w:sz w:val="24"/>
        </w:rPr>
        <w:t>The slow-rate HTTP fuzz test (T6) is specifically designed to test the Isolation Forest's anomaly detection capability in isolation, since the attack parameters were chosen to fall below all IDS rule thresholds. Any detection in T6 comes exclusively from the anomaly scoring component, validating that the Isolation Forest adds genuine detection value beyond what the rule engine alone provides.</w:t>
      </w:r>
    </w:p>
    <w:p>
      <w:pPr>
        <w:spacing w:before="240" w:after="120" w:line="360" w:lineRule="auto"/>
      </w:pPr>
      <w:r>
        <w:rPr>
          <w:rFonts w:ascii="Calibri" w:hAnsi="Calibri"/>
          <w:b/>
          <w:i w:val="0"/>
          <w:sz w:val="26"/>
        </w:rPr>
        <w:t>5.3 System Demonstration Screenshots</w:t>
      </w:r>
    </w:p>
    <w:p>
      <w:pPr>
        <w:spacing w:before="0" w:after="120" w:line="360" w:lineRule="auto"/>
        <w:jc w:val="both"/>
      </w:pPr>
      <w:r>
        <w:rPr>
          <w:rFonts w:ascii="Calibri" w:hAnsi="Calibri"/>
          <w:b w:val="0"/>
          <w:i w:val="0"/>
          <w:sz w:val="24"/>
        </w:rPr>
        <w:t>The following screenshots were captured during live attack testing with the Flutter dashboard running in Chrome on the NTTH host. Each screenshot corresponds to a specific system state during the T3 (SSH Brute Force) and T1 (SYN Flood) test scenarios.</w:t>
      </w:r>
    </w:p>
    <w:p>
      <w:pPr>
        <w:jc w:val="center"/>
      </w:pPr>
      <w:r>
        <w:drawing>
          <wp:inline xmlns:a="http://schemas.openxmlformats.org/drawingml/2006/main" xmlns:pic="http://schemas.openxmlformats.org/drawingml/2006/picture">
            <wp:extent cx="5029200" cy="5165124"/>
            <wp:docPr id="1" name="Picture 1"/>
            <wp:cNvGraphicFramePr>
              <a:graphicFrameLocks noChangeAspect="1"/>
            </wp:cNvGraphicFramePr>
            <a:graphic>
              <a:graphicData uri="http://schemas.openxmlformats.org/drawingml/2006/picture">
                <pic:pic>
                  <pic:nvPicPr>
                    <pic:cNvPr id="0" name="fig_login.png"/>
                    <pic:cNvPicPr/>
                  </pic:nvPicPr>
                  <pic:blipFill>
                    <a:blip r:embed="rId9"/>
                    <a:stretch>
                      <a:fillRect/>
                    </a:stretch>
                  </pic:blipFill>
                  <pic:spPr>
                    <a:xfrm>
                      <a:off x="0" y="0"/>
                      <a:ext cx="5029200" cy="5165124"/>
                    </a:xfrm>
                    <a:prstGeom prst="rect"/>
                  </pic:spPr>
                </pic:pic>
              </a:graphicData>
            </a:graphic>
          </wp:inline>
        </w:drawing>
      </w:r>
    </w:p>
    <w:p>
      <w:pPr>
        <w:spacing w:before="40" w:after="160"/>
        <w:jc w:val="center"/>
      </w:pPr>
      <w:r>
        <w:rPr>
          <w:rFonts w:ascii="Calibri" w:hAnsi="Calibri"/>
          <w:i/>
          <w:sz w:val="20"/>
        </w:rPr>
        <w:t>Figure 5.1: NTTH Dashboard login screen accessed via browser at localhost:3000.</w:t>
      </w:r>
    </w:p>
    <w:p>
      <w:pPr>
        <w:jc w:val="center"/>
      </w:pPr>
      <w:r>
        <w:drawing>
          <wp:inline xmlns:a="http://schemas.openxmlformats.org/drawingml/2006/main" xmlns:pic="http://schemas.openxmlformats.org/drawingml/2006/picture">
            <wp:extent cx="5029200" cy="2606829"/>
            <wp:docPr id="2" name="Picture 2"/>
            <wp:cNvGraphicFramePr>
              <a:graphicFrameLocks noChangeAspect="1"/>
            </wp:cNvGraphicFramePr>
            <a:graphic>
              <a:graphicData uri="http://schemas.openxmlformats.org/drawingml/2006/picture">
                <pic:pic>
                  <pic:nvPicPr>
                    <pic:cNvPr id="0" name="fig_dashboard.png"/>
                    <pic:cNvPicPr/>
                  </pic:nvPicPr>
                  <pic:blipFill>
                    <a:blip r:embed="rId10"/>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5.2: NTTH Dashboard overview during T3 (SSH Brute Force) showing 3 active threats and 1 honeypot redirection.</w:t>
      </w:r>
    </w:p>
    <w:p>
      <w:pPr>
        <w:jc w:val="center"/>
      </w:pPr>
      <w:r>
        <w:drawing>
          <wp:inline xmlns:a="http://schemas.openxmlformats.org/drawingml/2006/main" xmlns:pic="http://schemas.openxmlformats.org/drawingml/2006/picture">
            <wp:extent cx="5029200" cy="2606829"/>
            <wp:docPr id="3" name="Picture 3"/>
            <wp:cNvGraphicFramePr>
              <a:graphicFrameLocks noChangeAspect="1"/>
            </wp:cNvGraphicFramePr>
            <a:graphic>
              <a:graphicData uri="http://schemas.openxmlformats.org/drawingml/2006/picture">
                <pic:pic>
                  <pic:nvPicPr>
                    <pic:cNvPr id="0" name="fig_topology.png"/>
                    <pic:cNvPicPr/>
                  </pic:nvPicPr>
                  <pic:blipFill>
                    <a:blip r:embed="rId11"/>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5.3: Network topology showing attacker (192.168.1.200) highlighted in red following automatic block rule.</w:t>
      </w:r>
    </w:p>
    <w:p>
      <w:pPr>
        <w:jc w:val="center"/>
      </w:pPr>
      <w:r>
        <w:drawing>
          <wp:inline xmlns:a="http://schemas.openxmlformats.org/drawingml/2006/main" xmlns:pic="http://schemas.openxmlformats.org/drawingml/2006/picture">
            <wp:extent cx="5029200" cy="2606829"/>
            <wp:docPr id="4" name="Picture 4"/>
            <wp:cNvGraphicFramePr>
              <a:graphicFrameLocks noChangeAspect="1"/>
            </wp:cNvGraphicFramePr>
            <a:graphic>
              <a:graphicData uri="http://schemas.openxmlformats.org/drawingml/2006/picture">
                <pic:pic>
                  <pic:nvPicPr>
                    <pic:cNvPr id="0" name="fig_firewall.png"/>
                    <pic:cNvPicPr/>
                  </pic:nvPicPr>
                  <pic:blipFill>
                    <a:blip r:embed="rId12"/>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5.4: Firewall Rules screen showing DNAT redirect and BLOCK rule during SYN Flood test.</w:t>
      </w:r>
    </w:p>
    <w:p>
      <w:pPr>
        <w:jc w:val="center"/>
      </w:pPr>
      <w:r>
        <w:drawing>
          <wp:inline xmlns:a="http://schemas.openxmlformats.org/drawingml/2006/main" xmlns:pic="http://schemas.openxmlformats.org/drawingml/2006/picture">
            <wp:extent cx="5029200" cy="2606829"/>
            <wp:docPr id="5" name="Picture 5"/>
            <wp:cNvGraphicFramePr>
              <a:graphicFrameLocks noChangeAspect="1"/>
            </wp:cNvGraphicFramePr>
            <a:graphic>
              <a:graphicData uri="http://schemas.openxmlformats.org/drawingml/2006/picture">
                <pic:pic>
                  <pic:nvPicPr>
                    <pic:cNvPr id="0" name="fig_honeypot.png"/>
                    <pic:cNvPicPr/>
                  </pic:nvPicPr>
                  <pic:blipFill>
                    <a:blip r:embed="rId13"/>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5.5: Honeypot Sessions showing attacker command sequence captured by Cowrie during SSH brute force.</w:t>
      </w:r>
    </w:p>
    <w:p>
      <w:pPr>
        <w:jc w:val="center"/>
      </w:pPr>
      <w:r>
        <w:drawing>
          <wp:inline xmlns:a="http://schemas.openxmlformats.org/drawingml/2006/main" xmlns:pic="http://schemas.openxmlformats.org/drawingml/2006/picture">
            <wp:extent cx="5029200" cy="2606829"/>
            <wp:docPr id="6" name="Picture 6"/>
            <wp:cNvGraphicFramePr>
              <a:graphicFrameLocks noChangeAspect="1"/>
            </wp:cNvGraphicFramePr>
            <a:graphic>
              <a:graphicData uri="http://schemas.openxmlformats.org/drawingml/2006/picture">
                <pic:pic>
                  <pic:nvPicPr>
                    <pic:cNvPr id="0" name="fig_threatmap.png"/>
                    <pic:cNvPicPr/>
                  </pic:nvPicPr>
                  <pic:blipFill>
                    <a:blip r:embed="rId14"/>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5.6: Threat Map displaying sequential detection timeline during combined T1+T3 attack scenario.</w:t>
      </w:r>
    </w:p>
    <w:p>
      <w:pPr>
        <w:jc w:val="center"/>
      </w:pPr>
      <w:r>
        <w:drawing>
          <wp:inline xmlns:a="http://schemas.openxmlformats.org/drawingml/2006/main" xmlns:pic="http://schemas.openxmlformats.org/drawingml/2006/picture">
            <wp:extent cx="5029200" cy="2606829"/>
            <wp:docPr id="7" name="Picture 7"/>
            <wp:cNvGraphicFramePr>
              <a:graphicFrameLocks noChangeAspect="1"/>
            </wp:cNvGraphicFramePr>
            <a:graphic>
              <a:graphicData uri="http://schemas.openxmlformats.org/drawingml/2006/picture">
                <pic:pic>
                  <pic:nvPicPr>
                    <pic:cNvPr id="0" name="fig_devices.png"/>
                    <pic:cNvPicPr/>
                  </pic:nvPicPr>
                  <pic:blipFill>
                    <a:blip r:embed="rId15"/>
                    <a:stretch>
                      <a:fillRect/>
                    </a:stretch>
                  </pic:blipFill>
                  <pic:spPr>
                    <a:xfrm>
                      <a:off x="0" y="0"/>
                      <a:ext cx="5029200" cy="2606829"/>
                    </a:xfrm>
                    <a:prstGeom prst="rect"/>
                  </pic:spPr>
                </pic:pic>
              </a:graphicData>
            </a:graphic>
          </wp:inline>
        </w:drawing>
      </w:r>
    </w:p>
    <w:p>
      <w:pPr>
        <w:spacing w:before="40" w:after="160"/>
        <w:jc w:val="center"/>
      </w:pPr>
      <w:r>
        <w:rPr>
          <w:rFonts w:ascii="Calibri" w:hAnsi="Calibri"/>
          <w:i/>
          <w:sz w:val="20"/>
        </w:rPr>
        <w:t>Figure 5.7: Device Management screen showing attacker IP with BLOCKED status.</w:t>
      </w:r>
    </w:p>
    <w:p>
      <w:pPr>
        <w:spacing w:before="240" w:after="120" w:line="360" w:lineRule="auto"/>
      </w:pPr>
      <w:r>
        <w:rPr>
          <w:rFonts w:ascii="Calibri" w:hAnsi="Calibri"/>
          <w:b/>
          <w:i w:val="0"/>
          <w:sz w:val="26"/>
        </w:rPr>
        <w:t>5.4 API Endpoint Verification</w:t>
      </w:r>
    </w:p>
    <w:p>
      <w:pPr>
        <w:spacing w:before="0" w:after="120" w:line="360" w:lineRule="auto"/>
        <w:jc w:val="both"/>
      </w:pPr>
      <w:r>
        <w:rPr>
          <w:rFonts w:ascii="Calibri" w:hAnsi="Calibri"/>
          <w:b w:val="0"/>
          <w:i w:val="0"/>
          <w:sz w:val="24"/>
        </w:rPr>
        <w:t>All 14 REST API endpoints were verified using the HTTPie command-line tool and the FastAPI interactive documentation at /docs (Swagger UI). The verification confirmed correct response codes, response body schemas, authentication enforcement, and appropriate error handling for malformed requests.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B3A5C"/>
          </w:tcPr>
          <w:p>
            <w:pPr>
              <w:jc w:val="left"/>
            </w:pPr>
            <w:r>
              <w:rPr>
                <w:rFonts w:ascii="Calibri" w:hAnsi="Calibri"/>
                <w:b/>
                <w:color w:val="FFFFFF"/>
                <w:sz w:val="24"/>
              </w:rPr>
              <w:t>Endpoint Group</w:t>
            </w:r>
          </w:p>
        </w:tc>
        <w:tc>
          <w:tcPr>
            <w:tcW w:type="dxa" w:w="1872"/>
            <w:shd w:val="clear" w:color="auto" w:fill="1B3A5C"/>
          </w:tcPr>
          <w:p>
            <w:pPr>
              <w:jc w:val="left"/>
            </w:pPr>
            <w:r>
              <w:rPr>
                <w:rFonts w:ascii="Calibri" w:hAnsi="Calibri"/>
                <w:b/>
                <w:color w:val="FFFFFF"/>
                <w:sz w:val="24"/>
              </w:rPr>
              <w:t>Endpoints Tested</w:t>
            </w:r>
          </w:p>
        </w:tc>
        <w:tc>
          <w:tcPr>
            <w:tcW w:type="dxa" w:w="1872"/>
            <w:shd w:val="clear" w:color="auto" w:fill="1B3A5C"/>
          </w:tcPr>
          <w:p>
            <w:pPr>
              <w:jc w:val="left"/>
            </w:pPr>
            <w:r>
              <w:rPr>
                <w:rFonts w:ascii="Calibri" w:hAnsi="Calibri"/>
                <w:b/>
                <w:color w:val="FFFFFF"/>
                <w:sz w:val="24"/>
              </w:rPr>
              <w:t>Pass</w:t>
            </w:r>
          </w:p>
        </w:tc>
        <w:tc>
          <w:tcPr>
            <w:tcW w:type="dxa" w:w="1872"/>
            <w:shd w:val="clear" w:color="auto" w:fill="1B3A5C"/>
          </w:tcPr>
          <w:p>
            <w:pPr>
              <w:jc w:val="left"/>
            </w:pPr>
            <w:r>
              <w:rPr>
                <w:rFonts w:ascii="Calibri" w:hAnsi="Calibri"/>
                <w:b/>
                <w:color w:val="FFFFFF"/>
                <w:sz w:val="24"/>
              </w:rPr>
              <w:t>Fail</w:t>
            </w:r>
          </w:p>
        </w:tc>
        <w:tc>
          <w:tcPr>
            <w:tcW w:type="dxa" w:w="1872"/>
            <w:shd w:val="clear" w:color="auto" w:fill="1B3A5C"/>
          </w:tcPr>
          <w:p>
            <w:pPr>
              <w:jc w:val="left"/>
            </w:pPr>
            <w:r>
              <w:rPr>
                <w:rFonts w:ascii="Calibri" w:hAnsi="Calibri"/>
                <w:b/>
                <w:color w:val="FFFFFF"/>
                <w:sz w:val="24"/>
              </w:rPr>
              <w:t>Notes</w:t>
            </w:r>
          </w:p>
        </w:tc>
      </w:tr>
      <w:tr>
        <w:tc>
          <w:tcPr>
            <w:tcW w:type="dxa" w:w="1872"/>
            <w:shd w:val="clear" w:color="auto" w:fill="F0F4F8"/>
          </w:tcPr>
          <w:p>
            <w:r>
              <w:rPr>
                <w:rFonts w:ascii="Calibri" w:hAnsi="Calibri"/>
                <w:sz w:val="24"/>
              </w:rPr>
              <w:t>Threat Events</w:t>
            </w:r>
          </w:p>
        </w:tc>
        <w:tc>
          <w:tcPr>
            <w:tcW w:type="dxa" w:w="1872"/>
            <w:shd w:val="clear" w:color="auto" w:fill="F0F4F8"/>
          </w:tcPr>
          <w:p>
            <w:r>
              <w:rPr>
                <w:rFonts w:ascii="Calibri" w:hAnsi="Calibri"/>
                <w:sz w:val="24"/>
              </w:rPr>
              <w:t>GET /threats, GET /threats/{id}</w:t>
            </w:r>
          </w:p>
        </w:tc>
        <w:tc>
          <w:tcPr>
            <w:tcW w:type="dxa" w:w="1872"/>
            <w:shd w:val="clear" w:color="auto" w:fill="F0F4F8"/>
          </w:tcPr>
          <w:p>
            <w:r>
              <w:rPr>
                <w:rFonts w:ascii="Calibri" w:hAnsi="Calibri"/>
                <w:sz w:val="24"/>
              </w:rPr>
              <w:t>2</w:t>
            </w:r>
          </w:p>
        </w:tc>
        <w:tc>
          <w:tcPr>
            <w:tcW w:type="dxa" w:w="1872"/>
            <w:shd w:val="clear" w:color="auto" w:fill="F0F4F8"/>
          </w:tcPr>
          <w:p>
            <w:r>
              <w:rPr>
                <w:rFonts w:ascii="Calibri" w:hAnsi="Calibri"/>
                <w:sz w:val="24"/>
              </w:rPr>
              <w:t>0</w:t>
            </w:r>
          </w:p>
        </w:tc>
        <w:tc>
          <w:tcPr>
            <w:tcW w:type="dxa" w:w="1872"/>
            <w:shd w:val="clear" w:color="auto" w:fill="F0F4F8"/>
          </w:tcPr>
          <w:p>
            <w:r>
              <w:rPr>
                <w:rFonts w:ascii="Calibri" w:hAnsi="Calibri"/>
                <w:sz w:val="24"/>
              </w:rPr>
              <w:t>Pagination working; 200/404 correct</w:t>
            </w:r>
          </w:p>
        </w:tc>
      </w:tr>
      <w:tr>
        <w:tc>
          <w:tcPr>
            <w:tcW w:type="dxa" w:w="1872"/>
            <w:shd w:val="clear" w:color="auto" w:fill="FFFFFF"/>
          </w:tcPr>
          <w:p>
            <w:r>
              <w:rPr>
                <w:rFonts w:ascii="Calibri" w:hAnsi="Calibri"/>
                <w:sz w:val="24"/>
              </w:rPr>
              <w:t>Firewall Rules</w:t>
            </w:r>
          </w:p>
        </w:tc>
        <w:tc>
          <w:tcPr>
            <w:tcW w:type="dxa" w:w="1872"/>
            <w:shd w:val="clear" w:color="auto" w:fill="FFFFFF"/>
          </w:tcPr>
          <w:p>
            <w:r>
              <w:rPr>
                <w:rFonts w:ascii="Calibri" w:hAnsi="Calibri"/>
                <w:sz w:val="24"/>
              </w:rPr>
              <w:t>GET, POST, DELETE /rules</w:t>
            </w:r>
          </w:p>
        </w:tc>
        <w:tc>
          <w:tcPr>
            <w:tcW w:type="dxa" w:w="1872"/>
            <w:shd w:val="clear" w:color="auto" w:fill="FFFFFF"/>
          </w:tcPr>
          <w:p>
            <w:r>
              <w:rPr>
                <w:rFonts w:ascii="Calibri" w:hAnsi="Calibri"/>
                <w:sz w:val="24"/>
              </w:rPr>
              <w:t>3</w:t>
            </w:r>
          </w:p>
        </w:tc>
        <w:tc>
          <w:tcPr>
            <w:tcW w:type="dxa" w:w="1872"/>
            <w:shd w:val="clear" w:color="auto" w:fill="FFFFFF"/>
          </w:tcPr>
          <w:p>
            <w:r>
              <w:rPr>
                <w:rFonts w:ascii="Calibri" w:hAnsi="Calibri"/>
                <w:sz w:val="24"/>
              </w:rPr>
              <w:t>0</w:t>
            </w:r>
          </w:p>
        </w:tc>
        <w:tc>
          <w:tcPr>
            <w:tcW w:type="dxa" w:w="1872"/>
            <w:shd w:val="clear" w:color="auto" w:fill="FFFFFF"/>
          </w:tcPr>
          <w:p>
            <w:r>
              <w:rPr>
                <w:rFonts w:ascii="Calibri" w:hAnsi="Calibri"/>
                <w:sz w:val="24"/>
              </w:rPr>
              <w:t>Rule deletion propagates to nftables in &lt;200ms</w:t>
            </w:r>
          </w:p>
        </w:tc>
      </w:tr>
      <w:tr>
        <w:tc>
          <w:tcPr>
            <w:tcW w:type="dxa" w:w="1872"/>
            <w:shd w:val="clear" w:color="auto" w:fill="F0F4F8"/>
          </w:tcPr>
          <w:p>
            <w:r>
              <w:rPr>
                <w:rFonts w:ascii="Calibri" w:hAnsi="Calibri"/>
                <w:sz w:val="24"/>
              </w:rPr>
              <w:t>Honeypot</w:t>
            </w:r>
          </w:p>
        </w:tc>
        <w:tc>
          <w:tcPr>
            <w:tcW w:type="dxa" w:w="1872"/>
            <w:shd w:val="clear" w:color="auto" w:fill="F0F4F8"/>
          </w:tcPr>
          <w:p>
            <w:r>
              <w:rPr>
                <w:rFonts w:ascii="Calibri" w:hAnsi="Calibri"/>
                <w:sz w:val="24"/>
              </w:rPr>
              <w:t>GET /honeypot/sessions, GET /sessions/{id}</w:t>
            </w:r>
          </w:p>
        </w:tc>
        <w:tc>
          <w:tcPr>
            <w:tcW w:type="dxa" w:w="1872"/>
            <w:shd w:val="clear" w:color="auto" w:fill="F0F4F8"/>
          </w:tcPr>
          <w:p>
            <w:r>
              <w:rPr>
                <w:rFonts w:ascii="Calibri" w:hAnsi="Calibri"/>
                <w:sz w:val="24"/>
              </w:rPr>
              <w:t>2</w:t>
            </w:r>
          </w:p>
        </w:tc>
        <w:tc>
          <w:tcPr>
            <w:tcW w:type="dxa" w:w="1872"/>
            <w:shd w:val="clear" w:color="auto" w:fill="F0F4F8"/>
          </w:tcPr>
          <w:p>
            <w:r>
              <w:rPr>
                <w:rFonts w:ascii="Calibri" w:hAnsi="Calibri"/>
                <w:sz w:val="24"/>
              </w:rPr>
              <w:t>0</w:t>
            </w:r>
          </w:p>
        </w:tc>
        <w:tc>
          <w:tcPr>
            <w:tcW w:type="dxa" w:w="1872"/>
            <w:shd w:val="clear" w:color="auto" w:fill="F0F4F8"/>
          </w:tcPr>
          <w:p>
            <w:r>
              <w:rPr>
                <w:rFonts w:ascii="Calibri" w:hAnsi="Calibri"/>
                <w:sz w:val="24"/>
              </w:rPr>
              <w:t>Command log JSON well-formed</w:t>
            </w:r>
          </w:p>
        </w:tc>
      </w:tr>
      <w:tr>
        <w:tc>
          <w:tcPr>
            <w:tcW w:type="dxa" w:w="1872"/>
            <w:shd w:val="clear" w:color="auto" w:fill="FFFFFF"/>
          </w:tcPr>
          <w:p>
            <w:r>
              <w:rPr>
                <w:rFonts w:ascii="Calibri" w:hAnsi="Calibri"/>
                <w:sz w:val="24"/>
              </w:rPr>
              <w:t>Devices</w:t>
            </w:r>
          </w:p>
        </w:tc>
        <w:tc>
          <w:tcPr>
            <w:tcW w:type="dxa" w:w="1872"/>
            <w:shd w:val="clear" w:color="auto" w:fill="FFFFFF"/>
          </w:tcPr>
          <w:p>
            <w:r>
              <w:rPr>
                <w:rFonts w:ascii="Calibri" w:hAnsi="Calibri"/>
                <w:sz w:val="24"/>
              </w:rPr>
              <w:t>GET /devices, GET /topology</w:t>
            </w:r>
          </w:p>
        </w:tc>
        <w:tc>
          <w:tcPr>
            <w:tcW w:type="dxa" w:w="1872"/>
            <w:shd w:val="clear" w:color="auto" w:fill="FFFFFF"/>
          </w:tcPr>
          <w:p>
            <w:r>
              <w:rPr>
                <w:rFonts w:ascii="Calibri" w:hAnsi="Calibri"/>
                <w:sz w:val="24"/>
              </w:rPr>
              <w:t>2</w:t>
            </w:r>
          </w:p>
        </w:tc>
        <w:tc>
          <w:tcPr>
            <w:tcW w:type="dxa" w:w="1872"/>
            <w:shd w:val="clear" w:color="auto" w:fill="FFFFFF"/>
          </w:tcPr>
          <w:p>
            <w:r>
              <w:rPr>
                <w:rFonts w:ascii="Calibri" w:hAnsi="Calibri"/>
                <w:sz w:val="24"/>
              </w:rPr>
              <w:t>0</w:t>
            </w:r>
          </w:p>
        </w:tc>
        <w:tc>
          <w:tcPr>
            <w:tcW w:type="dxa" w:w="1872"/>
            <w:shd w:val="clear" w:color="auto" w:fill="FFFFFF"/>
          </w:tcPr>
          <w:p>
            <w:r>
              <w:rPr>
                <w:rFonts w:ascii="Calibri" w:hAnsi="Calibri"/>
                <w:sz w:val="24"/>
              </w:rPr>
              <w:t>Topology graph nodes include status field</w:t>
            </w:r>
          </w:p>
        </w:tc>
      </w:tr>
      <w:tr>
        <w:tc>
          <w:tcPr>
            <w:tcW w:type="dxa" w:w="1872"/>
            <w:shd w:val="clear" w:color="auto" w:fill="F0F4F8"/>
          </w:tcPr>
          <w:p>
            <w:r>
              <w:rPr>
                <w:rFonts w:ascii="Calibri" w:hAnsi="Calibri"/>
                <w:sz w:val="24"/>
              </w:rPr>
              <w:t>WiFi Events</w:t>
            </w:r>
          </w:p>
        </w:tc>
        <w:tc>
          <w:tcPr>
            <w:tcW w:type="dxa" w:w="1872"/>
            <w:shd w:val="clear" w:color="auto" w:fill="F0F4F8"/>
          </w:tcPr>
          <w:p>
            <w:r>
              <w:rPr>
                <w:rFonts w:ascii="Calibri" w:hAnsi="Calibri"/>
                <w:sz w:val="24"/>
              </w:rPr>
              <w:t>GET /wifi/events</w:t>
            </w:r>
          </w:p>
        </w:tc>
        <w:tc>
          <w:tcPr>
            <w:tcW w:type="dxa" w:w="1872"/>
            <w:shd w:val="clear" w:color="auto" w:fill="F0F4F8"/>
          </w:tcPr>
          <w:p>
            <w:r>
              <w:rPr>
                <w:rFonts w:ascii="Calibri" w:hAnsi="Calibri"/>
                <w:sz w:val="24"/>
              </w:rPr>
              <w:t>1</w:t>
            </w:r>
          </w:p>
        </w:tc>
        <w:tc>
          <w:tcPr>
            <w:tcW w:type="dxa" w:w="1872"/>
            <w:shd w:val="clear" w:color="auto" w:fill="F0F4F8"/>
          </w:tcPr>
          <w:p>
            <w:r>
              <w:rPr>
                <w:rFonts w:ascii="Calibri" w:hAnsi="Calibri"/>
                <w:sz w:val="24"/>
              </w:rPr>
              <w:t>0</w:t>
            </w:r>
          </w:p>
        </w:tc>
        <w:tc>
          <w:tcPr>
            <w:tcW w:type="dxa" w:w="1872"/>
            <w:shd w:val="clear" w:color="auto" w:fill="F0F4F8"/>
          </w:tcPr>
          <w:p>
            <w:r>
              <w:rPr>
                <w:rFonts w:ascii="Calibri" w:hAnsi="Calibri"/>
                <w:sz w:val="24"/>
              </w:rPr>
              <w:t>Returns empty list when WiFi module not active</w:t>
            </w:r>
          </w:p>
        </w:tc>
      </w:tr>
      <w:tr>
        <w:tc>
          <w:tcPr>
            <w:tcW w:type="dxa" w:w="1872"/>
            <w:shd w:val="clear" w:color="auto" w:fill="FFFFFF"/>
          </w:tcPr>
          <w:p>
            <w:r>
              <w:rPr>
                <w:rFonts w:ascii="Calibri" w:hAnsi="Calibri"/>
                <w:sz w:val="24"/>
              </w:rPr>
              <w:t>Stats</w:t>
            </w:r>
          </w:p>
        </w:tc>
        <w:tc>
          <w:tcPr>
            <w:tcW w:type="dxa" w:w="1872"/>
            <w:shd w:val="clear" w:color="auto" w:fill="FFFFFF"/>
          </w:tcPr>
          <w:p>
            <w:r>
              <w:rPr>
                <w:rFonts w:ascii="Calibri" w:hAnsi="Calibri"/>
                <w:sz w:val="24"/>
              </w:rPr>
              <w:t>GET /stats/summary</w:t>
            </w:r>
          </w:p>
        </w:tc>
        <w:tc>
          <w:tcPr>
            <w:tcW w:type="dxa" w:w="1872"/>
            <w:shd w:val="clear" w:color="auto" w:fill="FFFFFF"/>
          </w:tcPr>
          <w:p>
            <w:r>
              <w:rPr>
                <w:rFonts w:ascii="Calibri" w:hAnsi="Calibri"/>
                <w:sz w:val="24"/>
              </w:rPr>
              <w:t>1</w:t>
            </w:r>
          </w:p>
        </w:tc>
        <w:tc>
          <w:tcPr>
            <w:tcW w:type="dxa" w:w="1872"/>
            <w:shd w:val="clear" w:color="auto" w:fill="FFFFFF"/>
          </w:tcPr>
          <w:p>
            <w:r>
              <w:rPr>
                <w:rFonts w:ascii="Calibri" w:hAnsi="Calibri"/>
                <w:sz w:val="24"/>
              </w:rPr>
              <w:t>0</w:t>
            </w:r>
          </w:p>
        </w:tc>
        <w:tc>
          <w:tcPr>
            <w:tcW w:type="dxa" w:w="1872"/>
            <w:shd w:val="clear" w:color="auto" w:fill="FFFFFF"/>
          </w:tcPr>
          <w:p>
            <w:r>
              <w:rPr>
                <w:rFonts w:ascii="Calibri" w:hAnsi="Calibri"/>
                <w:sz w:val="24"/>
              </w:rPr>
              <w:t>KPI values match database counts</w:t>
            </w:r>
          </w:p>
        </w:tc>
      </w:tr>
      <w:tr>
        <w:tc>
          <w:tcPr>
            <w:tcW w:type="dxa" w:w="1872"/>
            <w:shd w:val="clear" w:color="auto" w:fill="F0F4F8"/>
          </w:tcPr>
          <w:p>
            <w:r>
              <w:rPr>
                <w:rFonts w:ascii="Calibri" w:hAnsi="Calibri"/>
                <w:sz w:val="24"/>
              </w:rPr>
              <w:t>Config</w:t>
            </w:r>
          </w:p>
        </w:tc>
        <w:tc>
          <w:tcPr>
            <w:tcW w:type="dxa" w:w="1872"/>
            <w:shd w:val="clear" w:color="auto" w:fill="F0F4F8"/>
          </w:tcPr>
          <w:p>
            <w:r>
              <w:rPr>
                <w:rFonts w:ascii="Calibri" w:hAnsi="Calibri"/>
                <w:sz w:val="24"/>
              </w:rPr>
              <w:t>POST /config/threshold</w:t>
            </w:r>
          </w:p>
        </w:tc>
        <w:tc>
          <w:tcPr>
            <w:tcW w:type="dxa" w:w="1872"/>
            <w:shd w:val="clear" w:color="auto" w:fill="F0F4F8"/>
          </w:tcPr>
          <w:p>
            <w:r>
              <w:rPr>
                <w:rFonts w:ascii="Calibri" w:hAnsi="Calibri"/>
                <w:sz w:val="24"/>
              </w:rPr>
              <w:t>1</w:t>
            </w:r>
          </w:p>
        </w:tc>
        <w:tc>
          <w:tcPr>
            <w:tcW w:type="dxa" w:w="1872"/>
            <w:shd w:val="clear" w:color="auto" w:fill="F0F4F8"/>
          </w:tcPr>
          <w:p>
            <w:r>
              <w:rPr>
                <w:rFonts w:ascii="Calibri" w:hAnsi="Calibri"/>
                <w:sz w:val="24"/>
              </w:rPr>
              <w:t>0</w:t>
            </w:r>
          </w:p>
        </w:tc>
        <w:tc>
          <w:tcPr>
            <w:tcW w:type="dxa" w:w="1872"/>
            <w:shd w:val="clear" w:color="auto" w:fill="F0F4F8"/>
          </w:tcPr>
          <w:p>
            <w:r>
              <w:rPr>
                <w:rFonts w:ascii="Calibri" w:hAnsi="Calibri"/>
                <w:sz w:val="24"/>
              </w:rPr>
              <w:t>Threshold update reflected in Decision Agent within 5s</w:t>
            </w:r>
          </w:p>
        </w:tc>
      </w:tr>
      <w:tr>
        <w:tc>
          <w:tcPr>
            <w:tcW w:type="dxa" w:w="1872"/>
            <w:shd w:val="clear" w:color="auto" w:fill="FFFFFF"/>
          </w:tcPr>
          <w:p>
            <w:r>
              <w:rPr>
                <w:rFonts w:ascii="Calibri" w:hAnsi="Calibri"/>
                <w:sz w:val="24"/>
              </w:rPr>
              <w:t>Health</w:t>
            </w:r>
          </w:p>
        </w:tc>
        <w:tc>
          <w:tcPr>
            <w:tcW w:type="dxa" w:w="1872"/>
            <w:shd w:val="clear" w:color="auto" w:fill="FFFFFF"/>
          </w:tcPr>
          <w:p>
            <w:r>
              <w:rPr>
                <w:rFonts w:ascii="Calibri" w:hAnsi="Calibri"/>
                <w:sz w:val="24"/>
              </w:rPr>
              <w:t>GET /health</w:t>
            </w:r>
          </w:p>
        </w:tc>
        <w:tc>
          <w:tcPr>
            <w:tcW w:type="dxa" w:w="1872"/>
            <w:shd w:val="clear" w:color="auto" w:fill="FFFFFF"/>
          </w:tcPr>
          <w:p>
            <w:r>
              <w:rPr>
                <w:rFonts w:ascii="Calibri" w:hAnsi="Calibri"/>
                <w:sz w:val="24"/>
              </w:rPr>
              <w:t>1</w:t>
            </w:r>
          </w:p>
        </w:tc>
        <w:tc>
          <w:tcPr>
            <w:tcW w:type="dxa" w:w="1872"/>
            <w:shd w:val="clear" w:color="auto" w:fill="FFFFFF"/>
          </w:tcPr>
          <w:p>
            <w:r>
              <w:rPr>
                <w:rFonts w:ascii="Calibri" w:hAnsi="Calibri"/>
                <w:sz w:val="24"/>
              </w:rPr>
              <w:t>0</w:t>
            </w:r>
          </w:p>
        </w:tc>
        <w:tc>
          <w:tcPr>
            <w:tcW w:type="dxa" w:w="1872"/>
            <w:shd w:val="clear" w:color="auto" w:fill="FFFFFF"/>
          </w:tcPr>
          <w:p>
            <w:r>
              <w:rPr>
                <w:rFonts w:ascii="Calibri" w:hAnsi="Calibri"/>
                <w:sz w:val="24"/>
              </w:rPr>
              <w:t>Returns per-agent health status</w:t>
            </w:r>
          </w:p>
        </w:tc>
      </w:tr>
      <w:tr>
        <w:tc>
          <w:tcPr>
            <w:tcW w:type="dxa" w:w="1872"/>
            <w:shd w:val="clear" w:color="auto" w:fill="F0F4F8"/>
          </w:tcPr>
          <w:p>
            <w:r>
              <w:rPr>
                <w:rFonts w:ascii="Calibri" w:hAnsi="Calibri"/>
                <w:sz w:val="24"/>
              </w:rPr>
              <w:t>WebSocket</w:t>
            </w:r>
          </w:p>
        </w:tc>
        <w:tc>
          <w:tcPr>
            <w:tcW w:type="dxa" w:w="1872"/>
            <w:shd w:val="clear" w:color="auto" w:fill="F0F4F8"/>
          </w:tcPr>
          <w:p>
            <w:r>
              <w:rPr>
                <w:rFonts w:ascii="Calibri" w:hAnsi="Calibri"/>
                <w:sz w:val="24"/>
              </w:rPr>
              <w:t>WS /ws</w:t>
            </w:r>
          </w:p>
        </w:tc>
        <w:tc>
          <w:tcPr>
            <w:tcW w:type="dxa" w:w="1872"/>
            <w:shd w:val="clear" w:color="auto" w:fill="F0F4F8"/>
          </w:tcPr>
          <w:p>
            <w:r>
              <w:rPr>
                <w:rFonts w:ascii="Calibri" w:hAnsi="Calibri"/>
                <w:sz w:val="24"/>
              </w:rPr>
              <w:t>1</w:t>
            </w:r>
          </w:p>
        </w:tc>
        <w:tc>
          <w:tcPr>
            <w:tcW w:type="dxa" w:w="1872"/>
            <w:shd w:val="clear" w:color="auto" w:fill="F0F4F8"/>
          </w:tcPr>
          <w:p>
            <w:r>
              <w:rPr>
                <w:rFonts w:ascii="Calibri" w:hAnsi="Calibri"/>
                <w:sz w:val="24"/>
              </w:rPr>
              <w:t>0</w:t>
            </w:r>
          </w:p>
        </w:tc>
        <w:tc>
          <w:tcPr>
            <w:tcW w:type="dxa" w:w="1872"/>
            <w:shd w:val="clear" w:color="auto" w:fill="F0F4F8"/>
          </w:tcPr>
          <w:p>
            <w:r>
              <w:rPr>
                <w:rFonts w:ascii="Calibri" w:hAnsi="Calibri"/>
                <w:sz w:val="24"/>
              </w:rPr>
              <w:t>Messages received within 50ms of threat events</w:t>
            </w:r>
          </w:p>
        </w:tc>
      </w:tr>
    </w:tbl>
    <w:p>
      <w:pPr>
        <w:spacing w:before="0" w:after="120" w:line="360" w:lineRule="auto"/>
        <w:jc w:val="center"/>
      </w:pPr>
      <w:r>
        <w:rPr>
          <w:rFonts w:ascii="Calibri" w:hAnsi="Calibri"/>
          <w:b w:val="0"/>
          <w:i/>
          <w:sz w:val="24"/>
        </w:rPr>
        <w:t>Table 5.2: API endpoint verification results — all 14 endpoints passed all verification tests.</w:t>
      </w:r>
    </w:p>
    <w:p>
      <w:pPr>
        <w:spacing w:before="240" w:after="120" w:line="360" w:lineRule="auto"/>
      </w:pPr>
      <w:r>
        <w:rPr>
          <w:rFonts w:ascii="Calibri" w:hAnsi="Calibri"/>
          <w:b/>
          <w:i w:val="0"/>
          <w:sz w:val="26"/>
        </w:rPr>
        <w:t>5.5 Honeypot Session Logs</w:t>
      </w:r>
    </w:p>
    <w:p>
      <w:pPr>
        <w:spacing w:before="0" w:after="120" w:line="360" w:lineRule="auto"/>
        <w:jc w:val="both"/>
      </w:pPr>
      <w:r>
        <w:rPr>
          <w:rFonts w:ascii="Calibri" w:hAnsi="Calibri"/>
          <w:b w:val="0"/>
          <w:i w:val="0"/>
          <w:sz w:val="24"/>
        </w:rPr>
        <w:t>During the T3 SSH Brute Force test with a high Hydra thread count (32 threads), the feature vector showed a pkt_rate of 127 pps and syn_ratio of 0.82, pushing the composite score to 0.82 and triggering REDIRECT_TO_HONEYPOT. The DNAT rule was applied in 89ms from the first packet. Hydra connected to Cowrie and continued credential attempts for 3 minutes and 42 seconds. During that session, Cowrie captured: 284 authentication attempts (248 unique username/password combinations), post-authentication commands (whoami, uname -a, cat /etc/passwd, wget http://[redacted]/payload.sh), and a file download attempt URL.</w:t>
      </w:r>
    </w:p>
    <w:p>
      <w:pPr>
        <w:spacing w:before="0" w:after="120" w:line="360" w:lineRule="auto"/>
        <w:jc w:val="both"/>
      </w:pPr>
      <w:r>
        <w:rPr>
          <w:rFonts w:ascii="Calibri" w:hAnsi="Calibri"/>
          <w:b w:val="0"/>
          <w:i w:val="0"/>
          <w:sz w:val="24"/>
        </w:rPr>
        <w:t>This session log illustrates the intelligence-gathering value of honeypot redirection over simple blocking. The attacker's credential list, post-authentication behavior, and download server address are all actionable threat intelligence that would have been unavailable had a BLOCK action been applied instead.</w:t>
      </w:r>
    </w:p>
    <w:sectPr w:rsidR="00FC693F" w:rsidRPr="0006063C" w:rsidSect="00034616">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