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26"/>
        </w:rPr>
        <w:t>CHAPTER 6</w:t>
      </w:r>
    </w:p>
    <w:p>
      <w:pPr>
        <w:spacing w:before="240" w:after="120" w:line="360" w:lineRule="auto"/>
        <w:jc w:val="center"/>
      </w:pPr>
      <w:r>
        <w:rPr>
          <w:rFonts w:ascii="Calibri" w:hAnsi="Calibri"/>
          <w:b/>
          <w:i w:val="0"/>
          <w:sz w:val="28"/>
        </w:rPr>
        <w:t>Experimental Results and Analysis</w:t>
      </w:r>
    </w:p>
    <w:p>
      <w:pPr>
        <w:spacing w:before="240" w:after="120" w:line="360" w:lineRule="auto"/>
      </w:pPr>
      <w:r>
        <w:rPr>
          <w:rFonts w:ascii="Calibri" w:hAnsi="Calibri"/>
          <w:b/>
          <w:i w:val="0"/>
          <w:sz w:val="26"/>
        </w:rPr>
        <w:t>6.1 Experimental Setup and Metrics</w:t>
      </w:r>
    </w:p>
    <w:p>
      <w:pPr>
        <w:spacing w:before="0" w:after="120" w:line="360" w:lineRule="auto"/>
        <w:jc w:val="both"/>
      </w:pPr>
      <w:r>
        <w:rPr>
          <w:rFonts w:ascii="Calibri" w:hAnsi="Calibri"/>
          <w:b w:val="0"/>
          <w:i w:val="0"/>
          <w:sz w:val="24"/>
        </w:rPr>
        <w:t>The experimental evaluation was conducted over three days in the controlled test environment described in Chapter 5. Each attack scenario was executed three times in sequence, with a 10-minute recovery period between runs. In parallel, the same attack traffic captures were replayed through standalone Snort 3.1 and Suricata 7.0 instances on the same hardware to provide a comparison baseline.</w:t>
      </w:r>
    </w:p>
    <w:p>
      <w:pPr>
        <w:spacing w:before="0" w:after="120" w:line="360" w:lineRule="auto"/>
        <w:jc w:val="both"/>
      </w:pPr>
      <w:r>
        <w:rPr>
          <w:rFonts w:ascii="Calibri" w:hAnsi="Calibri"/>
          <w:b w:val="0"/>
          <w:i w:val="0"/>
          <w:sz w:val="24"/>
        </w:rPr>
        <w:t>Five primary metrics were measured: Detection Rate (DR) — percentage of attack scenarios correctly identified before damage threshold; False Positive Rate (FPR) — rate of ALERT or higher actions generated on confirmed normal traffic; Response Time (RT) — wall-clock time from first attack packet to successful enforcement rule application; Honeypot Capture Rate (HCR) — percentage of high-score threats redirected to honeypot; and Composite Score Accuracy — Mean Absolute Error between computed and ground-truth risk scores.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Metric</w:t>
            </w:r>
          </w:p>
        </w:tc>
        <w:tc>
          <w:tcPr>
            <w:tcW w:type="dxa" w:w="2340"/>
            <w:shd w:val="clear" w:color="auto" w:fill="1B3A5C"/>
          </w:tcPr>
          <w:p>
            <w:pPr>
              <w:jc w:val="left"/>
            </w:pPr>
            <w:r>
              <w:rPr>
                <w:rFonts w:ascii="Calibri" w:hAnsi="Calibri"/>
                <w:b/>
                <w:color w:val="FFFFFF"/>
                <w:sz w:val="24"/>
              </w:rPr>
              <w:t>NTTH</w:t>
            </w:r>
          </w:p>
        </w:tc>
        <w:tc>
          <w:tcPr>
            <w:tcW w:type="dxa" w:w="2340"/>
            <w:shd w:val="clear" w:color="auto" w:fill="1B3A5C"/>
          </w:tcPr>
          <w:p>
            <w:pPr>
              <w:jc w:val="left"/>
            </w:pPr>
            <w:r>
              <w:rPr>
                <w:rFonts w:ascii="Calibri" w:hAnsi="Calibri"/>
                <w:b/>
                <w:color w:val="FFFFFF"/>
                <w:sz w:val="24"/>
              </w:rPr>
              <w:t>Snort 3.1</w:t>
            </w:r>
          </w:p>
        </w:tc>
        <w:tc>
          <w:tcPr>
            <w:tcW w:type="dxa" w:w="2340"/>
            <w:shd w:val="clear" w:color="auto" w:fill="1B3A5C"/>
          </w:tcPr>
          <w:p>
            <w:pPr>
              <w:jc w:val="left"/>
            </w:pPr>
            <w:r>
              <w:rPr>
                <w:rFonts w:ascii="Calibri" w:hAnsi="Calibri"/>
                <w:b/>
                <w:color w:val="FFFFFF"/>
                <w:sz w:val="24"/>
              </w:rPr>
              <w:t>Suricata 7.0</w:t>
            </w:r>
          </w:p>
        </w:tc>
      </w:tr>
      <w:tr>
        <w:tc>
          <w:tcPr>
            <w:tcW w:type="dxa" w:w="2340"/>
            <w:shd w:val="clear" w:color="auto" w:fill="F0F4F8"/>
          </w:tcPr>
          <w:p>
            <w:r>
              <w:rPr>
                <w:rFonts w:ascii="Calibri" w:hAnsi="Calibri"/>
                <w:sz w:val="24"/>
              </w:rPr>
              <w:t>Detection Rate (all 6 scenarios)</w:t>
            </w:r>
          </w:p>
        </w:tc>
        <w:tc>
          <w:tcPr>
            <w:tcW w:type="dxa" w:w="2340"/>
            <w:shd w:val="clear" w:color="auto" w:fill="F0F4F8"/>
          </w:tcPr>
          <w:p>
            <w:r>
              <w:rPr>
                <w:rFonts w:ascii="Calibri" w:hAnsi="Calibri"/>
                <w:sz w:val="24"/>
              </w:rPr>
              <w:t>100% (6/6)</w:t>
            </w:r>
          </w:p>
        </w:tc>
        <w:tc>
          <w:tcPr>
            <w:tcW w:type="dxa" w:w="2340"/>
            <w:shd w:val="clear" w:color="auto" w:fill="F0F4F8"/>
          </w:tcPr>
          <w:p>
            <w:r>
              <w:rPr>
                <w:rFonts w:ascii="Calibri" w:hAnsi="Calibri"/>
                <w:sz w:val="24"/>
              </w:rPr>
              <w:t>83.3% (5/6)</w:t>
            </w:r>
          </w:p>
        </w:tc>
        <w:tc>
          <w:tcPr>
            <w:tcW w:type="dxa" w:w="2340"/>
            <w:shd w:val="clear" w:color="auto" w:fill="F0F4F8"/>
          </w:tcPr>
          <w:p>
            <w:r>
              <w:rPr>
                <w:rFonts w:ascii="Calibri" w:hAnsi="Calibri"/>
                <w:sz w:val="24"/>
              </w:rPr>
              <w:t>83.3% (5/6)</w:t>
            </w:r>
          </w:p>
        </w:tc>
      </w:tr>
      <w:tr>
        <w:tc>
          <w:tcPr>
            <w:tcW w:type="dxa" w:w="2340"/>
            <w:shd w:val="clear" w:color="auto" w:fill="FFFFFF"/>
          </w:tcPr>
          <w:p>
            <w:r>
              <w:rPr>
                <w:rFonts w:ascii="Calibri" w:hAnsi="Calibri"/>
                <w:sz w:val="24"/>
              </w:rPr>
              <w:t>False Positive Rate (baseline period)</w:t>
            </w:r>
          </w:p>
        </w:tc>
        <w:tc>
          <w:tcPr>
            <w:tcW w:type="dxa" w:w="2340"/>
            <w:shd w:val="clear" w:color="auto" w:fill="FFFFFF"/>
          </w:tcPr>
          <w:p>
            <w:r>
              <w:rPr>
                <w:rFonts w:ascii="Calibri" w:hAnsi="Calibri"/>
                <w:sz w:val="24"/>
              </w:rPr>
              <w:t>3.2%</w:t>
            </w:r>
          </w:p>
        </w:tc>
        <w:tc>
          <w:tcPr>
            <w:tcW w:type="dxa" w:w="2340"/>
            <w:shd w:val="clear" w:color="auto" w:fill="FFFFFF"/>
          </w:tcPr>
          <w:p>
            <w:r>
              <w:rPr>
                <w:rFonts w:ascii="Calibri" w:hAnsi="Calibri"/>
                <w:sz w:val="24"/>
              </w:rPr>
              <w:t>8.1%</w:t>
            </w:r>
          </w:p>
        </w:tc>
        <w:tc>
          <w:tcPr>
            <w:tcW w:type="dxa" w:w="2340"/>
            <w:shd w:val="clear" w:color="auto" w:fill="FFFFFF"/>
          </w:tcPr>
          <w:p>
            <w:r>
              <w:rPr>
                <w:rFonts w:ascii="Calibri" w:hAnsi="Calibri"/>
                <w:sz w:val="24"/>
              </w:rPr>
              <w:t>6.4%</w:t>
            </w:r>
          </w:p>
        </w:tc>
      </w:tr>
      <w:tr>
        <w:tc>
          <w:tcPr>
            <w:tcW w:type="dxa" w:w="2340"/>
            <w:shd w:val="clear" w:color="auto" w:fill="F0F4F8"/>
          </w:tcPr>
          <w:p>
            <w:r>
              <w:rPr>
                <w:rFonts w:ascii="Calibri" w:hAnsi="Calibri"/>
                <w:sz w:val="24"/>
              </w:rPr>
              <w:t>Mean Response Time (alert/action)</w:t>
            </w:r>
          </w:p>
        </w:tc>
        <w:tc>
          <w:tcPr>
            <w:tcW w:type="dxa" w:w="2340"/>
            <w:shd w:val="clear" w:color="auto" w:fill="F0F4F8"/>
          </w:tcPr>
          <w:p>
            <w:r>
              <w:rPr>
                <w:rFonts w:ascii="Calibri" w:hAnsi="Calibri"/>
                <w:sz w:val="24"/>
              </w:rPr>
              <w:t>312 ms</w:t>
            </w:r>
          </w:p>
        </w:tc>
        <w:tc>
          <w:tcPr>
            <w:tcW w:type="dxa" w:w="2340"/>
            <w:shd w:val="clear" w:color="auto" w:fill="F0F4F8"/>
          </w:tcPr>
          <w:p>
            <w:r>
              <w:rPr>
                <w:rFonts w:ascii="Calibri" w:hAnsi="Calibri"/>
                <w:sz w:val="24"/>
              </w:rPr>
              <w:t>N/A (alert only)</w:t>
            </w:r>
          </w:p>
        </w:tc>
        <w:tc>
          <w:tcPr>
            <w:tcW w:type="dxa" w:w="2340"/>
            <w:shd w:val="clear" w:color="auto" w:fill="F0F4F8"/>
          </w:tcPr>
          <w:p>
            <w:r>
              <w:rPr>
                <w:rFonts w:ascii="Calibri" w:hAnsi="Calibri"/>
                <w:sz w:val="24"/>
              </w:rPr>
              <w:t>N/A (alert only)</w:t>
            </w:r>
          </w:p>
        </w:tc>
      </w:tr>
      <w:tr>
        <w:tc>
          <w:tcPr>
            <w:tcW w:type="dxa" w:w="2340"/>
            <w:shd w:val="clear" w:color="auto" w:fill="FFFFFF"/>
          </w:tcPr>
          <w:p>
            <w:r>
              <w:rPr>
                <w:rFonts w:ascii="Calibri" w:hAnsi="Calibri"/>
                <w:sz w:val="24"/>
              </w:rPr>
              <w:t>Honeypot Capture Rate (REDIRECT actions)</w:t>
            </w:r>
          </w:p>
        </w:tc>
        <w:tc>
          <w:tcPr>
            <w:tcW w:type="dxa" w:w="2340"/>
            <w:shd w:val="clear" w:color="auto" w:fill="FFFFFF"/>
          </w:tcPr>
          <w:p>
            <w:r>
              <w:rPr>
                <w:rFonts w:ascii="Calibri" w:hAnsi="Calibri"/>
                <w:sz w:val="24"/>
              </w:rPr>
              <w:t>33.3% (2/6 scenarios)</w:t>
            </w:r>
          </w:p>
        </w:tc>
        <w:tc>
          <w:tcPr>
            <w:tcW w:type="dxa" w:w="2340"/>
            <w:shd w:val="clear" w:color="auto" w:fill="FFFFFF"/>
          </w:tcPr>
          <w:p>
            <w:r>
              <w:rPr>
                <w:rFonts w:ascii="Calibri" w:hAnsi="Calibri"/>
                <w:sz w:val="24"/>
              </w:rPr>
              <w:t>N/A</w:t>
            </w:r>
          </w:p>
        </w:tc>
        <w:tc>
          <w:tcPr>
            <w:tcW w:type="dxa" w:w="2340"/>
            <w:shd w:val="clear" w:color="auto" w:fill="FFFFFF"/>
          </w:tcPr>
          <w:p>
            <w:r>
              <w:rPr>
                <w:rFonts w:ascii="Calibri" w:hAnsi="Calibri"/>
                <w:sz w:val="24"/>
              </w:rPr>
              <w:t>N/A</w:t>
            </w:r>
          </w:p>
        </w:tc>
      </w:tr>
      <w:tr>
        <w:tc>
          <w:tcPr>
            <w:tcW w:type="dxa" w:w="2340"/>
            <w:shd w:val="clear" w:color="auto" w:fill="F0F4F8"/>
          </w:tcPr>
          <w:p>
            <w:r>
              <w:rPr>
                <w:rFonts w:ascii="Calibri" w:hAnsi="Calibri"/>
                <w:sz w:val="24"/>
              </w:rPr>
              <w:t>Slow-rate attack (T6) detection</w:t>
            </w:r>
          </w:p>
        </w:tc>
        <w:tc>
          <w:tcPr>
            <w:tcW w:type="dxa" w:w="2340"/>
            <w:shd w:val="clear" w:color="auto" w:fill="F0F4F8"/>
          </w:tcPr>
          <w:p>
            <w:r>
              <w:rPr>
                <w:rFonts w:ascii="Calibri" w:hAnsi="Calibri"/>
                <w:sz w:val="24"/>
              </w:rPr>
              <w:t>Yes (anomaly)</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No</w:t>
            </w:r>
          </w:p>
        </w:tc>
      </w:tr>
    </w:tbl>
    <w:p>
      <w:pPr>
        <w:spacing w:before="0" w:after="120" w:line="360" w:lineRule="auto"/>
        <w:jc w:val="center"/>
      </w:pPr>
      <w:r>
        <w:rPr>
          <w:rFonts w:ascii="Calibri" w:hAnsi="Calibri"/>
          <w:b w:val="0"/>
          <w:i/>
          <w:sz w:val="24"/>
        </w:rPr>
        <w:t>Table 6.1: Experimental metrics summary — NTTH vs Snort 3.1 vs Suricata 7.0.</w:t>
      </w:r>
    </w:p>
    <w:p>
      <w:pPr>
        <w:spacing w:before="240" w:after="120" w:line="360" w:lineRule="auto"/>
      </w:pPr>
      <w:r>
        <w:rPr>
          <w:rFonts w:ascii="Calibri" w:hAnsi="Calibri"/>
          <w:b/>
          <w:i w:val="0"/>
          <w:sz w:val="26"/>
        </w:rPr>
        <w:t>6.2 Detection Performance Results</w:t>
      </w:r>
    </w:p>
    <w:p>
      <w:pPr>
        <w:spacing w:before="0" w:after="120" w:line="360" w:lineRule="auto"/>
        <w:jc w:val="both"/>
      </w:pPr>
      <w:r>
        <w:rPr>
          <w:rFonts w:ascii="Calibri" w:hAnsi="Calibri"/>
          <w:b w:val="0"/>
          <w:i w:val="0"/>
          <w:sz w:val="24"/>
        </w:rPr>
        <w:t>NTTH achieved a 100% detection rate across all six attack scenarios, compared to 83.3% for both Snort and Suricata. The one attack both signature-based tools failed to detect was T6 (slow-rate HTTP fuzzing), which was deliberately designed to fall below all signature-based rule thresholds. NTTH's Isolation Forest detected this attack with a composite score of 0.41, generating an alert at 4 minutes 12 seconds into the attack run.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Pr>
          <w:p>
            <w:pPr>
              <w:jc w:val="left"/>
            </w:pPr>
            <w:r>
              <w:rPr>
                <w:rFonts w:ascii="Calibri" w:hAnsi="Calibri"/>
                <w:b/>
                <w:color w:val="FFFFFF"/>
                <w:sz w:val="24"/>
              </w:rPr>
              <w:t>Scenario</w:t>
            </w:r>
          </w:p>
        </w:tc>
        <w:tc>
          <w:tcPr>
            <w:tcW w:type="dxa" w:w="1560"/>
            <w:shd w:val="clear" w:color="auto" w:fill="1B3A5C"/>
          </w:tcPr>
          <w:p>
            <w:pPr>
              <w:jc w:val="left"/>
            </w:pPr>
            <w:r>
              <w:rPr>
                <w:rFonts w:ascii="Calibri" w:hAnsi="Calibri"/>
                <w:b/>
                <w:color w:val="FFFFFF"/>
                <w:sz w:val="24"/>
              </w:rPr>
              <w:t>NTTH Action</w:t>
            </w:r>
          </w:p>
        </w:tc>
        <w:tc>
          <w:tcPr>
            <w:tcW w:type="dxa" w:w="1560"/>
            <w:shd w:val="clear" w:color="auto" w:fill="1B3A5C"/>
          </w:tcPr>
          <w:p>
            <w:pPr>
              <w:jc w:val="left"/>
            </w:pPr>
            <w:r>
              <w:rPr>
                <w:rFonts w:ascii="Calibri" w:hAnsi="Calibri"/>
                <w:b/>
                <w:color w:val="FFFFFF"/>
                <w:sz w:val="24"/>
              </w:rPr>
              <w:t>NTTH Score</w:t>
            </w:r>
          </w:p>
        </w:tc>
        <w:tc>
          <w:tcPr>
            <w:tcW w:type="dxa" w:w="1560"/>
            <w:shd w:val="clear" w:color="auto" w:fill="1B3A5C"/>
          </w:tcPr>
          <w:p>
            <w:pPr>
              <w:jc w:val="left"/>
            </w:pPr>
            <w:r>
              <w:rPr>
                <w:rFonts w:ascii="Calibri" w:hAnsi="Calibri"/>
                <w:b/>
                <w:color w:val="FFFFFF"/>
                <w:sz w:val="24"/>
              </w:rPr>
              <w:t>RT (ms)</w:t>
            </w:r>
          </w:p>
        </w:tc>
        <w:tc>
          <w:tcPr>
            <w:tcW w:type="dxa" w:w="1560"/>
            <w:shd w:val="clear" w:color="auto" w:fill="1B3A5C"/>
          </w:tcPr>
          <w:p>
            <w:pPr>
              <w:jc w:val="left"/>
            </w:pPr>
            <w:r>
              <w:rPr>
                <w:rFonts w:ascii="Calibri" w:hAnsi="Calibri"/>
                <w:b/>
                <w:color w:val="FFFFFF"/>
                <w:sz w:val="24"/>
              </w:rPr>
              <w:t>Snort Detected</w:t>
            </w:r>
          </w:p>
        </w:tc>
        <w:tc>
          <w:tcPr>
            <w:tcW w:type="dxa" w:w="1560"/>
            <w:shd w:val="clear" w:color="auto" w:fill="1B3A5C"/>
          </w:tcPr>
          <w:p>
            <w:pPr>
              <w:jc w:val="left"/>
            </w:pPr>
            <w:r>
              <w:rPr>
                <w:rFonts w:ascii="Calibri" w:hAnsi="Calibri"/>
                <w:b/>
                <w:color w:val="FFFFFF"/>
                <w:sz w:val="24"/>
              </w:rPr>
              <w:t>Suricata Detected</w:t>
            </w:r>
          </w:p>
        </w:tc>
      </w:tr>
      <w:tr>
        <w:tc>
          <w:tcPr>
            <w:tcW w:type="dxa" w:w="1560"/>
            <w:shd w:val="clear" w:color="auto" w:fill="F0F4F8"/>
          </w:tcPr>
          <w:p>
            <w:r>
              <w:rPr>
                <w:rFonts w:ascii="Calibri" w:hAnsi="Calibri"/>
                <w:sz w:val="24"/>
              </w:rPr>
              <w:t>T1: SYN Flood</w:t>
            </w:r>
          </w:p>
        </w:tc>
        <w:tc>
          <w:tcPr>
            <w:tcW w:type="dxa" w:w="1560"/>
            <w:shd w:val="clear" w:color="auto" w:fill="F0F4F8"/>
          </w:tcPr>
          <w:p>
            <w:r>
              <w:rPr>
                <w:rFonts w:ascii="Calibri" w:hAnsi="Calibri"/>
                <w:sz w:val="24"/>
              </w:rPr>
              <w:t>BLOCK</w:t>
            </w:r>
          </w:p>
        </w:tc>
        <w:tc>
          <w:tcPr>
            <w:tcW w:type="dxa" w:w="1560"/>
            <w:shd w:val="clear" w:color="auto" w:fill="F0F4F8"/>
          </w:tcPr>
          <w:p>
            <w:r>
              <w:rPr>
                <w:rFonts w:ascii="Calibri" w:hAnsi="Calibri"/>
                <w:sz w:val="24"/>
              </w:rPr>
              <w:t>0.91</w:t>
            </w:r>
          </w:p>
        </w:tc>
        <w:tc>
          <w:tcPr>
            <w:tcW w:type="dxa" w:w="1560"/>
            <w:shd w:val="clear" w:color="auto" w:fill="F0F4F8"/>
          </w:tcPr>
          <w:p>
            <w:r>
              <w:rPr>
                <w:rFonts w:ascii="Calibri" w:hAnsi="Calibri"/>
                <w:sz w:val="24"/>
              </w:rPr>
              <w:t>187</w:t>
            </w:r>
          </w:p>
        </w:tc>
        <w:tc>
          <w:tcPr>
            <w:tcW w:type="dxa" w:w="1560"/>
            <w:shd w:val="clear" w:color="auto" w:fill="F0F4F8"/>
          </w:tcPr>
          <w:p>
            <w:r>
              <w:rPr>
                <w:rFonts w:ascii="Calibri" w:hAnsi="Calibri"/>
                <w:sz w:val="24"/>
              </w:rPr>
              <w:t>Yes (1.2s)</w:t>
            </w:r>
          </w:p>
        </w:tc>
        <w:tc>
          <w:tcPr>
            <w:tcW w:type="dxa" w:w="1560"/>
            <w:shd w:val="clear" w:color="auto" w:fill="F0F4F8"/>
          </w:tcPr>
          <w:p>
            <w:r>
              <w:rPr>
                <w:rFonts w:ascii="Calibri" w:hAnsi="Calibri"/>
                <w:sz w:val="24"/>
              </w:rPr>
              <w:t>Yes (0.9s)</w:t>
            </w:r>
          </w:p>
        </w:tc>
      </w:tr>
      <w:tr>
        <w:tc>
          <w:tcPr>
            <w:tcW w:type="dxa" w:w="1560"/>
            <w:shd w:val="clear" w:color="auto" w:fill="FFFFFF"/>
          </w:tcPr>
          <w:p>
            <w:r>
              <w:rPr>
                <w:rFonts w:ascii="Calibri" w:hAnsi="Calibri"/>
                <w:sz w:val="24"/>
              </w:rPr>
              <w:t>T2: Port Scan (SYN)</w:t>
            </w:r>
          </w:p>
        </w:tc>
        <w:tc>
          <w:tcPr>
            <w:tcW w:type="dxa" w:w="1560"/>
            <w:shd w:val="clear" w:color="auto" w:fill="FFFFFF"/>
          </w:tcPr>
          <w:p>
            <w:r>
              <w:rPr>
                <w:rFonts w:ascii="Calibri" w:hAnsi="Calibri"/>
                <w:sz w:val="24"/>
              </w:rPr>
              <w:t>BLOCK</w:t>
            </w:r>
          </w:p>
        </w:tc>
        <w:tc>
          <w:tcPr>
            <w:tcW w:type="dxa" w:w="1560"/>
            <w:shd w:val="clear" w:color="auto" w:fill="FFFFFF"/>
          </w:tcPr>
          <w:p>
            <w:r>
              <w:rPr>
                <w:rFonts w:ascii="Calibri" w:hAnsi="Calibri"/>
                <w:sz w:val="24"/>
              </w:rPr>
              <w:t>0.73</w:t>
            </w:r>
          </w:p>
        </w:tc>
        <w:tc>
          <w:tcPr>
            <w:tcW w:type="dxa" w:w="1560"/>
            <w:shd w:val="clear" w:color="auto" w:fill="FFFFFF"/>
          </w:tcPr>
          <w:p>
            <w:r>
              <w:rPr>
                <w:rFonts w:ascii="Calibri" w:hAnsi="Calibri"/>
                <w:sz w:val="24"/>
              </w:rPr>
              <w:t>412</w:t>
            </w:r>
          </w:p>
        </w:tc>
        <w:tc>
          <w:tcPr>
            <w:tcW w:type="dxa" w:w="1560"/>
            <w:shd w:val="clear" w:color="auto" w:fill="FFFFFF"/>
          </w:tcPr>
          <w:p>
            <w:r>
              <w:rPr>
                <w:rFonts w:ascii="Calibri" w:hAnsi="Calibri"/>
                <w:sz w:val="24"/>
              </w:rPr>
              <w:t>Yes (3.1s)</w:t>
            </w:r>
          </w:p>
        </w:tc>
        <w:tc>
          <w:tcPr>
            <w:tcW w:type="dxa" w:w="1560"/>
            <w:shd w:val="clear" w:color="auto" w:fill="FFFFFF"/>
          </w:tcPr>
          <w:p>
            <w:r>
              <w:rPr>
                <w:rFonts w:ascii="Calibri" w:hAnsi="Calibri"/>
                <w:sz w:val="24"/>
              </w:rPr>
              <w:t>Yes (2.8s)</w:t>
            </w:r>
          </w:p>
        </w:tc>
      </w:tr>
      <w:tr>
        <w:tc>
          <w:tcPr>
            <w:tcW w:type="dxa" w:w="1560"/>
            <w:shd w:val="clear" w:color="auto" w:fill="F0F4F8"/>
          </w:tcPr>
          <w:p>
            <w:r>
              <w:rPr>
                <w:rFonts w:ascii="Calibri" w:hAnsi="Calibri"/>
                <w:sz w:val="24"/>
              </w:rPr>
              <w:t>T3: SSH Brute (low)</w:t>
            </w:r>
          </w:p>
        </w:tc>
        <w:tc>
          <w:tcPr>
            <w:tcW w:type="dxa" w:w="1560"/>
            <w:shd w:val="clear" w:color="auto" w:fill="F0F4F8"/>
          </w:tcPr>
          <w:p>
            <w:r>
              <w:rPr>
                <w:rFonts w:ascii="Calibri" w:hAnsi="Calibri"/>
                <w:sz w:val="24"/>
              </w:rPr>
              <w:t>BLOCK</w:t>
            </w:r>
          </w:p>
        </w:tc>
        <w:tc>
          <w:tcPr>
            <w:tcW w:type="dxa" w:w="1560"/>
            <w:shd w:val="clear" w:color="auto" w:fill="F0F4F8"/>
          </w:tcPr>
          <w:p>
            <w:r>
              <w:rPr>
                <w:rFonts w:ascii="Calibri" w:hAnsi="Calibri"/>
                <w:sz w:val="24"/>
              </w:rPr>
              <w:t>0.735</w:t>
            </w:r>
          </w:p>
        </w:tc>
        <w:tc>
          <w:tcPr>
            <w:tcW w:type="dxa" w:w="1560"/>
            <w:shd w:val="clear" w:color="auto" w:fill="F0F4F8"/>
          </w:tcPr>
          <w:p>
            <w:r>
              <w:rPr>
                <w:rFonts w:ascii="Calibri" w:hAnsi="Calibri"/>
                <w:sz w:val="24"/>
              </w:rPr>
              <w:t>289</w:t>
            </w:r>
          </w:p>
        </w:tc>
        <w:tc>
          <w:tcPr>
            <w:tcW w:type="dxa" w:w="1560"/>
            <w:shd w:val="clear" w:color="auto" w:fill="F0F4F8"/>
          </w:tcPr>
          <w:p>
            <w:r>
              <w:rPr>
                <w:rFonts w:ascii="Calibri" w:hAnsi="Calibri"/>
                <w:sz w:val="24"/>
              </w:rPr>
              <w:t>Yes (4.7s)</w:t>
            </w:r>
          </w:p>
        </w:tc>
        <w:tc>
          <w:tcPr>
            <w:tcW w:type="dxa" w:w="1560"/>
            <w:shd w:val="clear" w:color="auto" w:fill="F0F4F8"/>
          </w:tcPr>
          <w:p>
            <w:r>
              <w:rPr>
                <w:rFonts w:ascii="Calibri" w:hAnsi="Calibri"/>
                <w:sz w:val="24"/>
              </w:rPr>
              <w:t>Yes (3.9s)</w:t>
            </w:r>
          </w:p>
        </w:tc>
      </w:tr>
      <w:tr>
        <w:tc>
          <w:tcPr>
            <w:tcW w:type="dxa" w:w="1560"/>
            <w:shd w:val="clear" w:color="auto" w:fill="FFFFFF"/>
          </w:tcPr>
          <w:p>
            <w:r>
              <w:rPr>
                <w:rFonts w:ascii="Calibri" w:hAnsi="Calibri"/>
                <w:sz w:val="24"/>
              </w:rPr>
              <w:t>T3: SSH Brute (high)</w:t>
            </w:r>
          </w:p>
        </w:tc>
        <w:tc>
          <w:tcPr>
            <w:tcW w:type="dxa" w:w="1560"/>
            <w:shd w:val="clear" w:color="auto" w:fill="FFFFFF"/>
          </w:tcPr>
          <w:p>
            <w:r>
              <w:rPr>
                <w:rFonts w:ascii="Calibri" w:hAnsi="Calibri"/>
                <w:sz w:val="24"/>
              </w:rPr>
              <w:t>REDIRECT</w:t>
            </w:r>
          </w:p>
        </w:tc>
        <w:tc>
          <w:tcPr>
            <w:tcW w:type="dxa" w:w="1560"/>
            <w:shd w:val="clear" w:color="auto" w:fill="FFFFFF"/>
          </w:tcPr>
          <w:p>
            <w:r>
              <w:rPr>
                <w:rFonts w:ascii="Calibri" w:hAnsi="Calibri"/>
                <w:sz w:val="24"/>
              </w:rPr>
              <w:t>0.82</w:t>
            </w:r>
          </w:p>
        </w:tc>
        <w:tc>
          <w:tcPr>
            <w:tcW w:type="dxa" w:w="1560"/>
            <w:shd w:val="clear" w:color="auto" w:fill="FFFFFF"/>
          </w:tcPr>
          <w:p>
            <w:r>
              <w:rPr>
                <w:rFonts w:ascii="Calibri" w:hAnsi="Calibri"/>
                <w:sz w:val="24"/>
              </w:rPr>
              <w:t>89</w:t>
            </w:r>
          </w:p>
        </w:tc>
        <w:tc>
          <w:tcPr>
            <w:tcW w:type="dxa" w:w="1560"/>
            <w:shd w:val="clear" w:color="auto" w:fill="FFFFFF"/>
          </w:tcPr>
          <w:p>
            <w:r>
              <w:rPr>
                <w:rFonts w:ascii="Calibri" w:hAnsi="Calibri"/>
                <w:sz w:val="24"/>
              </w:rPr>
              <w:t>Yes (1.8s)</w:t>
            </w:r>
          </w:p>
        </w:tc>
        <w:tc>
          <w:tcPr>
            <w:tcW w:type="dxa" w:w="1560"/>
            <w:shd w:val="clear" w:color="auto" w:fill="FFFFFF"/>
          </w:tcPr>
          <w:p>
            <w:r>
              <w:rPr>
                <w:rFonts w:ascii="Calibri" w:hAnsi="Calibri"/>
                <w:sz w:val="24"/>
              </w:rPr>
              <w:t>Yes (1.5s)</w:t>
            </w:r>
          </w:p>
        </w:tc>
      </w:tr>
      <w:tr>
        <w:tc>
          <w:tcPr>
            <w:tcW w:type="dxa" w:w="1560"/>
            <w:shd w:val="clear" w:color="auto" w:fill="F0F4F8"/>
          </w:tcPr>
          <w:p>
            <w:r>
              <w:rPr>
                <w:rFonts w:ascii="Calibri" w:hAnsi="Calibri"/>
                <w:sz w:val="24"/>
              </w:rPr>
              <w:t>T4: ARP Spoof</w:t>
            </w:r>
          </w:p>
        </w:tc>
        <w:tc>
          <w:tcPr>
            <w:tcW w:type="dxa" w:w="1560"/>
            <w:shd w:val="clear" w:color="auto" w:fill="F0F4F8"/>
          </w:tcPr>
          <w:p>
            <w:r>
              <w:rPr>
                <w:rFonts w:ascii="Calibri" w:hAnsi="Calibri"/>
                <w:sz w:val="24"/>
              </w:rPr>
              <w:t>BLOCK</w:t>
            </w:r>
          </w:p>
        </w:tc>
        <w:tc>
          <w:tcPr>
            <w:tcW w:type="dxa" w:w="1560"/>
            <w:shd w:val="clear" w:color="auto" w:fill="F0F4F8"/>
          </w:tcPr>
          <w:p>
            <w:r>
              <w:rPr>
                <w:rFonts w:ascii="Calibri" w:hAnsi="Calibri"/>
                <w:sz w:val="24"/>
              </w:rPr>
              <w:t>1.00 (IDS only)</w:t>
            </w:r>
          </w:p>
        </w:tc>
        <w:tc>
          <w:tcPr>
            <w:tcW w:type="dxa" w:w="1560"/>
            <w:shd w:val="clear" w:color="auto" w:fill="F0F4F8"/>
          </w:tcPr>
          <w:p>
            <w:r>
              <w:rPr>
                <w:rFonts w:ascii="Calibri" w:hAnsi="Calibri"/>
                <w:sz w:val="24"/>
              </w:rPr>
              <w:t>521</w:t>
            </w:r>
          </w:p>
        </w:tc>
        <w:tc>
          <w:tcPr>
            <w:tcW w:type="dxa" w:w="1560"/>
            <w:shd w:val="clear" w:color="auto" w:fill="F0F4F8"/>
          </w:tcPr>
          <w:p>
            <w:r>
              <w:rPr>
                <w:rFonts w:ascii="Calibri" w:hAnsi="Calibri"/>
                <w:sz w:val="24"/>
              </w:rPr>
              <w:t>Partial</w:t>
            </w:r>
          </w:p>
        </w:tc>
        <w:tc>
          <w:tcPr>
            <w:tcW w:type="dxa" w:w="1560"/>
            <w:shd w:val="clear" w:color="auto" w:fill="F0F4F8"/>
          </w:tcPr>
          <w:p>
            <w:r>
              <w:rPr>
                <w:rFonts w:ascii="Calibri" w:hAnsi="Calibri"/>
                <w:sz w:val="24"/>
              </w:rPr>
              <w:t>Yes</w:t>
            </w:r>
          </w:p>
        </w:tc>
      </w:tr>
      <w:tr>
        <w:tc>
          <w:tcPr>
            <w:tcW w:type="dxa" w:w="1560"/>
            <w:shd w:val="clear" w:color="auto" w:fill="FFFFFF"/>
          </w:tcPr>
          <w:p>
            <w:r>
              <w:rPr>
                <w:rFonts w:ascii="Calibri" w:hAnsi="Calibri"/>
                <w:sz w:val="24"/>
              </w:rPr>
              <w:t>T5: ICMP Flood</w:t>
            </w:r>
          </w:p>
        </w:tc>
        <w:tc>
          <w:tcPr>
            <w:tcW w:type="dxa" w:w="1560"/>
            <w:shd w:val="clear" w:color="auto" w:fill="FFFFFF"/>
          </w:tcPr>
          <w:p>
            <w:r>
              <w:rPr>
                <w:rFonts w:ascii="Calibri" w:hAnsi="Calibri"/>
                <w:sz w:val="24"/>
              </w:rPr>
              <w:t>THROTTLE</w:t>
            </w:r>
          </w:p>
        </w:tc>
        <w:tc>
          <w:tcPr>
            <w:tcW w:type="dxa" w:w="1560"/>
            <w:shd w:val="clear" w:color="auto" w:fill="FFFFFF"/>
          </w:tcPr>
          <w:p>
            <w:r>
              <w:rPr>
                <w:rFonts w:ascii="Calibri" w:hAnsi="Calibri"/>
                <w:sz w:val="24"/>
              </w:rPr>
              <w:t>0.61</w:t>
            </w:r>
          </w:p>
        </w:tc>
        <w:tc>
          <w:tcPr>
            <w:tcW w:type="dxa" w:w="1560"/>
            <w:shd w:val="clear" w:color="auto" w:fill="FFFFFF"/>
          </w:tcPr>
          <w:p>
            <w:r>
              <w:rPr>
                <w:rFonts w:ascii="Calibri" w:hAnsi="Calibri"/>
                <w:sz w:val="24"/>
              </w:rPr>
              <w:t>344</w:t>
            </w:r>
          </w:p>
        </w:tc>
        <w:tc>
          <w:tcPr>
            <w:tcW w:type="dxa" w:w="1560"/>
            <w:shd w:val="clear" w:color="auto" w:fill="FFFFFF"/>
          </w:tcPr>
          <w:p>
            <w:r>
              <w:rPr>
                <w:rFonts w:ascii="Calibri" w:hAnsi="Calibri"/>
                <w:sz w:val="24"/>
              </w:rPr>
              <w:t>Yes (0.7s)</w:t>
            </w:r>
          </w:p>
        </w:tc>
        <w:tc>
          <w:tcPr>
            <w:tcW w:type="dxa" w:w="1560"/>
            <w:shd w:val="clear" w:color="auto" w:fill="FFFFFF"/>
          </w:tcPr>
          <w:p>
            <w:r>
              <w:rPr>
                <w:rFonts w:ascii="Calibri" w:hAnsi="Calibri"/>
                <w:sz w:val="24"/>
              </w:rPr>
              <w:t>Yes (0.5s)</w:t>
            </w:r>
          </w:p>
        </w:tc>
      </w:tr>
      <w:tr>
        <w:tc>
          <w:tcPr>
            <w:tcW w:type="dxa" w:w="1560"/>
            <w:shd w:val="clear" w:color="auto" w:fill="F0F4F8"/>
          </w:tcPr>
          <w:p>
            <w:r>
              <w:rPr>
                <w:rFonts w:ascii="Calibri" w:hAnsi="Calibri"/>
                <w:sz w:val="24"/>
              </w:rPr>
              <w:t>T6: Slow HTTP Fuzz</w:t>
            </w:r>
          </w:p>
        </w:tc>
        <w:tc>
          <w:tcPr>
            <w:tcW w:type="dxa" w:w="1560"/>
            <w:shd w:val="clear" w:color="auto" w:fill="F0F4F8"/>
          </w:tcPr>
          <w:p>
            <w:r>
              <w:rPr>
                <w:rFonts w:ascii="Calibri" w:hAnsi="Calibri"/>
                <w:sz w:val="24"/>
              </w:rPr>
              <w:t>ALERT</w:t>
            </w:r>
          </w:p>
        </w:tc>
        <w:tc>
          <w:tcPr>
            <w:tcW w:type="dxa" w:w="1560"/>
            <w:shd w:val="clear" w:color="auto" w:fill="F0F4F8"/>
          </w:tcPr>
          <w:p>
            <w:r>
              <w:rPr>
                <w:rFonts w:ascii="Calibri" w:hAnsi="Calibri"/>
                <w:sz w:val="24"/>
              </w:rPr>
              <w:t>0.41</w:t>
            </w:r>
          </w:p>
        </w:tc>
        <w:tc>
          <w:tcPr>
            <w:tcW w:type="dxa" w:w="1560"/>
            <w:shd w:val="clear" w:color="auto" w:fill="F0F4F8"/>
          </w:tcPr>
          <w:p>
            <w:r>
              <w:rPr>
                <w:rFonts w:ascii="Calibri" w:hAnsi="Calibri"/>
                <w:sz w:val="24"/>
              </w:rPr>
              <w:t>252,000</w:t>
            </w:r>
          </w:p>
        </w:tc>
        <w:tc>
          <w:tcPr>
            <w:tcW w:type="dxa" w:w="1560"/>
            <w:shd w:val="clear" w:color="auto" w:fill="F0F4F8"/>
          </w:tcPr>
          <w:p>
            <w:r>
              <w:rPr>
                <w:rFonts w:ascii="Calibri" w:hAnsi="Calibri"/>
                <w:sz w:val="24"/>
              </w:rPr>
              <w:t>No</w:t>
            </w:r>
          </w:p>
        </w:tc>
        <w:tc>
          <w:tcPr>
            <w:tcW w:type="dxa" w:w="1560"/>
            <w:shd w:val="clear" w:color="auto" w:fill="F0F4F8"/>
          </w:tcPr>
          <w:p>
            <w:r>
              <w:rPr>
                <w:rFonts w:ascii="Calibri" w:hAnsi="Calibri"/>
                <w:sz w:val="24"/>
              </w:rPr>
              <w:t>No</w:t>
            </w:r>
          </w:p>
        </w:tc>
      </w:tr>
    </w:tbl>
    <w:p>
      <w:pPr>
        <w:spacing w:before="0" w:after="120" w:line="360" w:lineRule="auto"/>
        <w:jc w:val="center"/>
      </w:pPr>
      <w:r>
        <w:rPr>
          <w:rFonts w:ascii="Calibri" w:hAnsi="Calibri"/>
          <w:b w:val="0"/>
          <w:i/>
          <w:sz w:val="24"/>
        </w:rPr>
        <w:t>Table 6.2: Detection results by scenario with NTTH action, risk score, and response time.</w:t>
      </w:r>
    </w:p>
    <w:p>
      <w:pPr>
        <w:spacing w:before="0" w:after="120" w:line="360" w:lineRule="auto"/>
        <w:jc w:val="both"/>
      </w:pPr>
      <w:r>
        <w:rPr>
          <w:rFonts w:ascii="Calibri" w:hAnsi="Calibri"/>
          <w:b w:val="0"/>
          <w:i w:val="0"/>
          <w:sz w:val="24"/>
        </w:rPr>
        <w:t>The ARP Spoofing scenario (T4) received an IDS_Score of 1.0 (maximum) because the ARP_SPOOF rule fires at CRITICAL severity. The 521ms response time is slightly slower than network-flow scenarios because ARP analysis follows a different code path. The T6 slow HTTP fuzz response time of 252 seconds reflects the window-based anomaly detection accumulating borderline-anomalous scores across multiple windows before crossing the ALERT threshold — an expected behavior representing a sensitivity vs. false positive rate trade-off for low-intensity attacks.</w:t>
      </w:r>
    </w:p>
    <w:p>
      <w:pPr>
        <w:spacing w:before="240" w:after="120" w:line="360" w:lineRule="auto"/>
      </w:pPr>
      <w:r>
        <w:rPr>
          <w:rFonts w:ascii="Calibri" w:hAnsi="Calibri"/>
          <w:b/>
          <w:i w:val="0"/>
          <w:sz w:val="26"/>
        </w:rPr>
        <w:t>6.3 Response Time Analysis</w:t>
      </w:r>
    </w:p>
    <w:p>
      <w:pPr>
        <w:spacing w:before="0" w:after="120" w:line="360" w:lineRule="auto"/>
        <w:jc w:val="both"/>
      </w:pPr>
      <w:r>
        <w:rPr>
          <w:rFonts w:ascii="Calibri" w:hAnsi="Calibri"/>
          <w:b w:val="0"/>
          <w:i w:val="0"/>
          <w:sz w:val="24"/>
        </w:rPr>
        <w:t>For the five network-flow attack scenarios (T1–T5), the mean end-to-end response time was 312ms (median: 289ms). The breakdown of this latency across pipeline stages, measured by timestamps in the Redis message payloads: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Pipeline Stage</w:t>
            </w:r>
          </w:p>
        </w:tc>
        <w:tc>
          <w:tcPr>
            <w:tcW w:type="dxa" w:w="2340"/>
            <w:shd w:val="clear" w:color="auto" w:fill="1B3A5C"/>
          </w:tcPr>
          <w:p>
            <w:pPr>
              <w:jc w:val="left"/>
            </w:pPr>
            <w:r>
              <w:rPr>
                <w:rFonts w:ascii="Calibri" w:hAnsi="Calibri"/>
                <w:b/>
                <w:color w:val="FFFFFF"/>
                <w:sz w:val="24"/>
              </w:rPr>
              <w:t>Mean Latency (ms)</w:t>
            </w:r>
          </w:p>
        </w:tc>
        <w:tc>
          <w:tcPr>
            <w:tcW w:type="dxa" w:w="2340"/>
            <w:shd w:val="clear" w:color="auto" w:fill="1B3A5C"/>
          </w:tcPr>
          <w:p>
            <w:pPr>
              <w:jc w:val="left"/>
            </w:pPr>
            <w:r>
              <w:rPr>
                <w:rFonts w:ascii="Calibri" w:hAnsi="Calibri"/>
                <w:b/>
                <w:color w:val="FFFFFF"/>
                <w:sz w:val="24"/>
              </w:rPr>
              <w:t>Std Dev (ms)</w:t>
            </w:r>
          </w:p>
        </w:tc>
        <w:tc>
          <w:tcPr>
            <w:tcW w:type="dxa" w:w="2340"/>
            <w:shd w:val="clear" w:color="auto" w:fill="1B3A5C"/>
          </w:tcPr>
          <w:p>
            <w:pPr>
              <w:jc w:val="left"/>
            </w:pPr>
            <w:r>
              <w:rPr>
                <w:rFonts w:ascii="Calibri" w:hAnsi="Calibri"/>
                <w:b/>
                <w:color w:val="FFFFFF"/>
                <w:sz w:val="24"/>
              </w:rPr>
              <w:t>% of Total</w:t>
            </w:r>
          </w:p>
        </w:tc>
      </w:tr>
      <w:tr>
        <w:tc>
          <w:tcPr>
            <w:tcW w:type="dxa" w:w="2340"/>
            <w:shd w:val="clear" w:color="auto" w:fill="F0F4F8"/>
          </w:tcPr>
          <w:p>
            <w:r>
              <w:rPr>
                <w:rFonts w:ascii="Calibri" w:hAnsi="Calibri"/>
                <w:sz w:val="24"/>
              </w:rPr>
              <w:t>Capture → Feature Extraction</w:t>
            </w:r>
          </w:p>
        </w:tc>
        <w:tc>
          <w:tcPr>
            <w:tcW w:type="dxa" w:w="2340"/>
            <w:shd w:val="clear" w:color="auto" w:fill="F0F4F8"/>
          </w:tcPr>
          <w:p>
            <w:r>
              <w:rPr>
                <w:rFonts w:ascii="Calibri" w:hAnsi="Calibri"/>
                <w:sz w:val="24"/>
              </w:rPr>
              <w:t>48</w:t>
            </w:r>
          </w:p>
        </w:tc>
        <w:tc>
          <w:tcPr>
            <w:tcW w:type="dxa" w:w="2340"/>
            <w:shd w:val="clear" w:color="auto" w:fill="F0F4F8"/>
          </w:tcPr>
          <w:p>
            <w:r>
              <w:rPr>
                <w:rFonts w:ascii="Calibri" w:hAnsi="Calibri"/>
                <w:sz w:val="24"/>
              </w:rPr>
              <w:t>12</w:t>
            </w:r>
          </w:p>
        </w:tc>
        <w:tc>
          <w:tcPr>
            <w:tcW w:type="dxa" w:w="2340"/>
            <w:shd w:val="clear" w:color="auto" w:fill="F0F4F8"/>
          </w:tcPr>
          <w:p>
            <w:r>
              <w:rPr>
                <w:rFonts w:ascii="Calibri" w:hAnsi="Calibri"/>
                <w:sz w:val="24"/>
              </w:rPr>
              <w:t>15.4%</w:t>
            </w:r>
          </w:p>
        </w:tc>
      </w:tr>
      <w:tr>
        <w:tc>
          <w:tcPr>
            <w:tcW w:type="dxa" w:w="2340"/>
            <w:shd w:val="clear" w:color="auto" w:fill="FFFFFF"/>
          </w:tcPr>
          <w:p>
            <w:r>
              <w:rPr>
                <w:rFonts w:ascii="Calibri" w:hAnsi="Calibri"/>
                <w:sz w:val="24"/>
              </w:rPr>
              <w:t>Feature publish to Redis</w:t>
            </w:r>
          </w:p>
        </w:tc>
        <w:tc>
          <w:tcPr>
            <w:tcW w:type="dxa" w:w="2340"/>
            <w:shd w:val="clear" w:color="auto" w:fill="FFFFFF"/>
          </w:tcPr>
          <w:p>
            <w:r>
              <w:rPr>
                <w:rFonts w:ascii="Calibri" w:hAnsi="Calibri"/>
                <w:sz w:val="24"/>
              </w:rPr>
              <w:t>1.2</w:t>
            </w:r>
          </w:p>
        </w:tc>
        <w:tc>
          <w:tcPr>
            <w:tcW w:type="dxa" w:w="2340"/>
            <w:shd w:val="clear" w:color="auto" w:fill="FFFFFF"/>
          </w:tcPr>
          <w:p>
            <w:r>
              <w:rPr>
                <w:rFonts w:ascii="Calibri" w:hAnsi="Calibri"/>
                <w:sz w:val="24"/>
              </w:rPr>
              <w:t>0.4</w:t>
            </w:r>
          </w:p>
        </w:tc>
        <w:tc>
          <w:tcPr>
            <w:tcW w:type="dxa" w:w="2340"/>
            <w:shd w:val="clear" w:color="auto" w:fill="FFFFFF"/>
          </w:tcPr>
          <w:p>
            <w:r>
              <w:rPr>
                <w:rFonts w:ascii="Calibri" w:hAnsi="Calibri"/>
                <w:sz w:val="24"/>
              </w:rPr>
              <w:t>0.4%</w:t>
            </w:r>
          </w:p>
        </w:tc>
      </w:tr>
      <w:tr>
        <w:tc>
          <w:tcPr>
            <w:tcW w:type="dxa" w:w="2340"/>
            <w:shd w:val="clear" w:color="auto" w:fill="F0F4F8"/>
          </w:tcPr>
          <w:p>
            <w:r>
              <w:rPr>
                <w:rFonts w:ascii="Calibri" w:hAnsi="Calibri"/>
                <w:sz w:val="24"/>
              </w:rPr>
              <w:t>Risk Scoring (IDS + Isolation Forest)</w:t>
            </w:r>
          </w:p>
        </w:tc>
        <w:tc>
          <w:tcPr>
            <w:tcW w:type="dxa" w:w="2340"/>
            <w:shd w:val="clear" w:color="auto" w:fill="F0F4F8"/>
          </w:tcPr>
          <w:p>
            <w:r>
              <w:rPr>
                <w:rFonts w:ascii="Calibri" w:hAnsi="Calibri"/>
                <w:sz w:val="24"/>
              </w:rPr>
              <w:t>87</w:t>
            </w:r>
          </w:p>
        </w:tc>
        <w:tc>
          <w:tcPr>
            <w:tcW w:type="dxa" w:w="2340"/>
            <w:shd w:val="clear" w:color="auto" w:fill="F0F4F8"/>
          </w:tcPr>
          <w:p>
            <w:r>
              <w:rPr>
                <w:rFonts w:ascii="Calibri" w:hAnsi="Calibri"/>
                <w:sz w:val="24"/>
              </w:rPr>
              <w:t>23</w:t>
            </w:r>
          </w:p>
        </w:tc>
        <w:tc>
          <w:tcPr>
            <w:tcW w:type="dxa" w:w="2340"/>
            <w:shd w:val="clear" w:color="auto" w:fill="F0F4F8"/>
          </w:tcPr>
          <w:p>
            <w:r>
              <w:rPr>
                <w:rFonts w:ascii="Calibri" w:hAnsi="Calibri"/>
                <w:sz w:val="24"/>
              </w:rPr>
              <w:t>27.9%</w:t>
            </w:r>
          </w:p>
        </w:tc>
      </w:tr>
      <w:tr>
        <w:tc>
          <w:tcPr>
            <w:tcW w:type="dxa" w:w="2340"/>
            <w:shd w:val="clear" w:color="auto" w:fill="FFFFFF"/>
          </w:tcPr>
          <w:p>
            <w:r>
              <w:rPr>
                <w:rFonts w:ascii="Calibri" w:hAnsi="Calibri"/>
                <w:sz w:val="24"/>
              </w:rPr>
              <w:t>Decision Agent processing</w:t>
            </w:r>
          </w:p>
        </w:tc>
        <w:tc>
          <w:tcPr>
            <w:tcW w:type="dxa" w:w="2340"/>
            <w:shd w:val="clear" w:color="auto" w:fill="FFFFFF"/>
          </w:tcPr>
          <w:p>
            <w:r>
              <w:rPr>
                <w:rFonts w:ascii="Calibri" w:hAnsi="Calibri"/>
                <w:sz w:val="24"/>
              </w:rPr>
              <w:t>4.1</w:t>
            </w:r>
          </w:p>
        </w:tc>
        <w:tc>
          <w:tcPr>
            <w:tcW w:type="dxa" w:w="2340"/>
            <w:shd w:val="clear" w:color="auto" w:fill="FFFFFF"/>
          </w:tcPr>
          <w:p>
            <w:r>
              <w:rPr>
                <w:rFonts w:ascii="Calibri" w:hAnsi="Calibri"/>
                <w:sz w:val="24"/>
              </w:rPr>
              <w:t>1.8</w:t>
            </w:r>
          </w:p>
        </w:tc>
        <w:tc>
          <w:tcPr>
            <w:tcW w:type="dxa" w:w="2340"/>
            <w:shd w:val="clear" w:color="auto" w:fill="FFFFFF"/>
          </w:tcPr>
          <w:p>
            <w:r>
              <w:rPr>
                <w:rFonts w:ascii="Calibri" w:hAnsi="Calibri"/>
                <w:sz w:val="24"/>
              </w:rPr>
              <w:t>1.3%</w:t>
            </w:r>
          </w:p>
        </w:tc>
      </w:tr>
      <w:tr>
        <w:tc>
          <w:tcPr>
            <w:tcW w:type="dxa" w:w="2340"/>
            <w:shd w:val="clear" w:color="auto" w:fill="F0F4F8"/>
          </w:tcPr>
          <w:p>
            <w:r>
              <w:rPr>
                <w:rFonts w:ascii="Calibri" w:hAnsi="Calibri"/>
                <w:sz w:val="24"/>
              </w:rPr>
              <w:t>Enforcement (nft subprocess + kernel)</w:t>
            </w:r>
          </w:p>
        </w:tc>
        <w:tc>
          <w:tcPr>
            <w:tcW w:type="dxa" w:w="2340"/>
            <w:shd w:val="clear" w:color="auto" w:fill="F0F4F8"/>
          </w:tcPr>
          <w:p>
            <w:r>
              <w:rPr>
                <w:rFonts w:ascii="Calibri" w:hAnsi="Calibri"/>
                <w:sz w:val="24"/>
              </w:rPr>
              <w:t>171</w:t>
            </w:r>
          </w:p>
        </w:tc>
        <w:tc>
          <w:tcPr>
            <w:tcW w:type="dxa" w:w="2340"/>
            <w:shd w:val="clear" w:color="auto" w:fill="F0F4F8"/>
          </w:tcPr>
          <w:p>
            <w:r>
              <w:rPr>
                <w:rFonts w:ascii="Calibri" w:hAnsi="Calibri"/>
                <w:sz w:val="24"/>
              </w:rPr>
              <w:t>41</w:t>
            </w:r>
          </w:p>
        </w:tc>
        <w:tc>
          <w:tcPr>
            <w:tcW w:type="dxa" w:w="2340"/>
            <w:shd w:val="clear" w:color="auto" w:fill="F0F4F8"/>
          </w:tcPr>
          <w:p>
            <w:r>
              <w:rPr>
                <w:rFonts w:ascii="Calibri" w:hAnsi="Calibri"/>
                <w:sz w:val="24"/>
              </w:rPr>
              <w:t>54.8%</w:t>
            </w:r>
          </w:p>
        </w:tc>
      </w:tr>
      <w:tr>
        <w:tc>
          <w:tcPr>
            <w:tcW w:type="dxa" w:w="2340"/>
            <w:shd w:val="clear" w:color="auto" w:fill="FFFFFF"/>
          </w:tcPr>
          <w:p>
            <w:r>
              <w:rPr>
                <w:rFonts w:ascii="Calibri" w:hAnsi="Calibri"/>
                <w:sz w:val="24"/>
              </w:rPr>
              <w:t>Total end-to-end</w:t>
            </w:r>
          </w:p>
        </w:tc>
        <w:tc>
          <w:tcPr>
            <w:tcW w:type="dxa" w:w="2340"/>
            <w:shd w:val="clear" w:color="auto" w:fill="FFFFFF"/>
          </w:tcPr>
          <w:p>
            <w:r>
              <w:rPr>
                <w:rFonts w:ascii="Calibri" w:hAnsi="Calibri"/>
                <w:sz w:val="24"/>
              </w:rPr>
              <w:t>312</w:t>
            </w:r>
          </w:p>
        </w:tc>
        <w:tc>
          <w:tcPr>
            <w:tcW w:type="dxa" w:w="2340"/>
            <w:shd w:val="clear" w:color="auto" w:fill="FFFFFF"/>
          </w:tcPr>
          <w:p>
            <w:r>
              <w:rPr>
                <w:rFonts w:ascii="Calibri" w:hAnsi="Calibri"/>
                <w:sz w:val="24"/>
              </w:rPr>
              <w:t>51</w:t>
            </w:r>
          </w:p>
        </w:tc>
        <w:tc>
          <w:tcPr>
            <w:tcW w:type="dxa" w:w="2340"/>
            <w:shd w:val="clear" w:color="auto" w:fill="FFFFFF"/>
          </w:tcPr>
          <w:p>
            <w:r>
              <w:rPr>
                <w:rFonts w:ascii="Calibri" w:hAnsi="Calibri"/>
                <w:sz w:val="24"/>
              </w:rPr>
              <w:t>100%</w:t>
            </w:r>
          </w:p>
        </w:tc>
      </w:tr>
    </w:tbl>
    <w:p>
      <w:pPr>
        <w:spacing w:before="0" w:after="120" w:line="360" w:lineRule="auto"/>
        <w:jc w:val="center"/>
      </w:pPr>
      <w:r>
        <w:rPr>
          <w:rFonts w:ascii="Calibri" w:hAnsi="Calibri"/>
          <w:b w:val="0"/>
          <w:i/>
          <w:sz w:val="24"/>
        </w:rPr>
        <w:t>Table 6.3: Response time breakdown by pipeline stage across five attack scenarios (T1–T5).</w:t>
      </w:r>
    </w:p>
    <w:p>
      <w:pPr>
        <w:spacing w:before="0" w:after="120" w:line="360" w:lineRule="auto"/>
        <w:jc w:val="both"/>
      </w:pPr>
      <w:r>
        <w:rPr>
          <w:rFonts w:ascii="Calibri" w:hAnsi="Calibri"/>
          <w:b w:val="0"/>
          <w:i w:val="0"/>
          <w:sz w:val="24"/>
        </w:rPr>
        <w:t>The largest single contributor to latency is the nftables subprocess call at 171ms. This stage is a target for future optimization: direct kernel interaction through the python-nftables library could eliminate the subprocess overhead and reduce enforcement latency to approximately 20–40ms, bringing total pipeline response time to approximately 150ms.</w:t>
      </w:r>
    </w:p>
    <w:p>
      <w:pPr>
        <w:spacing w:before="240" w:after="120" w:line="360" w:lineRule="auto"/>
      </w:pPr>
      <w:r>
        <w:rPr>
          <w:rFonts w:ascii="Calibri" w:hAnsi="Calibri"/>
          <w:b/>
          <w:i w:val="0"/>
          <w:sz w:val="26"/>
        </w:rPr>
        <w:t>6.4 Comparative Evaluation</w:t>
      </w:r>
    </w:p>
    <w:p>
      <w:pPr>
        <w:spacing w:before="0" w:after="120" w:line="360" w:lineRule="auto"/>
        <w:jc w:val="both"/>
      </w:pPr>
      <w:r>
        <w:rPr>
          <w:rFonts w:ascii="Calibri" w:hAnsi="Calibri"/>
          <w:b w:val="0"/>
          <w:i w:val="0"/>
          <w:sz w:val="24"/>
        </w:rPr>
        <w:t>The comparison focuses on three dimensions: detection coverage, operational burden, and attacker intelligence gathering. On detection coverage, all three systems performed equivalently on T1 through T5. The difference in response overhead is more significant: Snort and Suricata generate alerts in under 5 seconds for high-rate attacks, but require manual administrator action to translate alerts into firewall rules — a process that takes 15 to 30 minutes under realistic conditions. NTTH's autonomous enforcement applied rules in under 600ms in all tested scenarios.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Capability</w:t>
            </w:r>
          </w:p>
        </w:tc>
        <w:tc>
          <w:tcPr>
            <w:tcW w:type="dxa" w:w="2340"/>
            <w:shd w:val="clear" w:color="auto" w:fill="1B3A5C"/>
          </w:tcPr>
          <w:p>
            <w:pPr>
              <w:jc w:val="left"/>
            </w:pPr>
            <w:r>
              <w:rPr>
                <w:rFonts w:ascii="Calibri" w:hAnsi="Calibri"/>
                <w:b/>
                <w:color w:val="FFFFFF"/>
                <w:sz w:val="24"/>
              </w:rPr>
              <w:t>NTTH</w:t>
            </w:r>
          </w:p>
        </w:tc>
        <w:tc>
          <w:tcPr>
            <w:tcW w:type="dxa" w:w="2340"/>
            <w:shd w:val="clear" w:color="auto" w:fill="1B3A5C"/>
          </w:tcPr>
          <w:p>
            <w:pPr>
              <w:jc w:val="left"/>
            </w:pPr>
            <w:r>
              <w:rPr>
                <w:rFonts w:ascii="Calibri" w:hAnsi="Calibri"/>
                <w:b/>
                <w:color w:val="FFFFFF"/>
                <w:sz w:val="24"/>
              </w:rPr>
              <w:t>Snort 3.1</w:t>
            </w:r>
          </w:p>
        </w:tc>
        <w:tc>
          <w:tcPr>
            <w:tcW w:type="dxa" w:w="2340"/>
            <w:shd w:val="clear" w:color="auto" w:fill="1B3A5C"/>
          </w:tcPr>
          <w:p>
            <w:pPr>
              <w:jc w:val="left"/>
            </w:pPr>
            <w:r>
              <w:rPr>
                <w:rFonts w:ascii="Calibri" w:hAnsi="Calibri"/>
                <w:b/>
                <w:color w:val="FFFFFF"/>
                <w:sz w:val="24"/>
              </w:rPr>
              <w:t>Suricata 7.0</w:t>
            </w:r>
          </w:p>
        </w:tc>
      </w:tr>
      <w:tr>
        <w:tc>
          <w:tcPr>
            <w:tcW w:type="dxa" w:w="2340"/>
            <w:shd w:val="clear" w:color="auto" w:fill="F0F4F8"/>
          </w:tcPr>
          <w:p>
            <w:r>
              <w:rPr>
                <w:rFonts w:ascii="Calibri" w:hAnsi="Calibri"/>
                <w:sz w:val="24"/>
              </w:rPr>
              <w:t>Signature detection</w:t>
            </w:r>
          </w:p>
        </w:tc>
        <w:tc>
          <w:tcPr>
            <w:tcW w:type="dxa" w:w="2340"/>
            <w:shd w:val="clear" w:color="auto" w:fill="F0F4F8"/>
          </w:tcPr>
          <w:p>
            <w:r>
              <w:rPr>
                <w:rFonts w:ascii="Calibri" w:hAnsi="Calibri"/>
                <w:sz w:val="24"/>
              </w:rPr>
              <w:t>Yes (15 custom rules)</w:t>
            </w:r>
          </w:p>
        </w:tc>
        <w:tc>
          <w:tcPr>
            <w:tcW w:type="dxa" w:w="2340"/>
            <w:shd w:val="clear" w:color="auto" w:fill="F0F4F8"/>
          </w:tcPr>
          <w:p>
            <w:r>
              <w:rPr>
                <w:rFonts w:ascii="Calibri" w:hAnsi="Calibri"/>
                <w:sz w:val="24"/>
              </w:rPr>
              <w:t>Yes (40,000+ rules)</w:t>
            </w:r>
          </w:p>
        </w:tc>
        <w:tc>
          <w:tcPr>
            <w:tcW w:type="dxa" w:w="2340"/>
            <w:shd w:val="clear" w:color="auto" w:fill="F0F4F8"/>
          </w:tcPr>
          <w:p>
            <w:r>
              <w:rPr>
                <w:rFonts w:ascii="Calibri" w:hAnsi="Calibri"/>
                <w:sz w:val="24"/>
              </w:rPr>
              <w:t>Yes (40,000+ rules)</w:t>
            </w:r>
          </w:p>
        </w:tc>
      </w:tr>
      <w:tr>
        <w:tc>
          <w:tcPr>
            <w:tcW w:type="dxa" w:w="2340"/>
            <w:shd w:val="clear" w:color="auto" w:fill="FFFFFF"/>
          </w:tcPr>
          <w:p>
            <w:r>
              <w:rPr>
                <w:rFonts w:ascii="Calibri" w:hAnsi="Calibri"/>
                <w:sz w:val="24"/>
              </w:rPr>
              <w:t>Anomaly detection</w:t>
            </w:r>
          </w:p>
        </w:tc>
        <w:tc>
          <w:tcPr>
            <w:tcW w:type="dxa" w:w="2340"/>
            <w:shd w:val="clear" w:color="auto" w:fill="FFFFFF"/>
          </w:tcPr>
          <w:p>
            <w:r>
              <w:rPr>
                <w:rFonts w:ascii="Calibri" w:hAnsi="Calibri"/>
                <w:sz w:val="24"/>
              </w:rPr>
              <w:t>Yes (Isolation Forest)</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Limited (protocol)</w:t>
            </w:r>
          </w:p>
        </w:tc>
      </w:tr>
      <w:tr>
        <w:tc>
          <w:tcPr>
            <w:tcW w:type="dxa" w:w="2340"/>
            <w:shd w:val="clear" w:color="auto" w:fill="F0F4F8"/>
          </w:tcPr>
          <w:p>
            <w:r>
              <w:rPr>
                <w:rFonts w:ascii="Calibri" w:hAnsi="Calibri"/>
                <w:sz w:val="24"/>
              </w:rPr>
              <w:t>Autonomous enforcement</w:t>
            </w:r>
          </w:p>
        </w:tc>
        <w:tc>
          <w:tcPr>
            <w:tcW w:type="dxa" w:w="2340"/>
            <w:shd w:val="clear" w:color="auto" w:fill="F0F4F8"/>
          </w:tcPr>
          <w:p>
            <w:r>
              <w:rPr>
                <w:rFonts w:ascii="Calibri" w:hAnsi="Calibri"/>
                <w:sz w:val="24"/>
              </w:rPr>
              <w:t>Yes (&lt;600ms)</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IPS mode only</w:t>
            </w:r>
          </w:p>
        </w:tc>
      </w:tr>
      <w:tr>
        <w:tc>
          <w:tcPr>
            <w:tcW w:type="dxa" w:w="2340"/>
            <w:shd w:val="clear" w:color="auto" w:fill="FFFFFF"/>
          </w:tcPr>
          <w:p>
            <w:r>
              <w:rPr>
                <w:rFonts w:ascii="Calibri" w:hAnsi="Calibri"/>
                <w:sz w:val="24"/>
              </w:rPr>
              <w:t>Honeypot redirection</w:t>
            </w:r>
          </w:p>
        </w:tc>
        <w:tc>
          <w:tcPr>
            <w:tcW w:type="dxa" w:w="2340"/>
            <w:shd w:val="clear" w:color="auto" w:fill="FFFFFF"/>
          </w:tcPr>
          <w:p>
            <w:r>
              <w:rPr>
                <w:rFonts w:ascii="Calibri" w:hAnsi="Calibri"/>
                <w:sz w:val="24"/>
              </w:rPr>
              <w:t>Yes (flow-aware)</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No</w:t>
            </w:r>
          </w:p>
        </w:tc>
      </w:tr>
      <w:tr>
        <w:tc>
          <w:tcPr>
            <w:tcW w:type="dxa" w:w="2340"/>
            <w:shd w:val="clear" w:color="auto" w:fill="F0F4F8"/>
          </w:tcPr>
          <w:p>
            <w:r>
              <w:rPr>
                <w:rFonts w:ascii="Calibri" w:hAnsi="Calibri"/>
                <w:sz w:val="24"/>
              </w:rPr>
              <w:t>Attacker intelligence</w:t>
            </w:r>
          </w:p>
        </w:tc>
        <w:tc>
          <w:tcPr>
            <w:tcW w:type="dxa" w:w="2340"/>
            <w:shd w:val="clear" w:color="auto" w:fill="F0F4F8"/>
          </w:tcPr>
          <w:p>
            <w:r>
              <w:rPr>
                <w:rFonts w:ascii="Calibri" w:hAnsi="Calibri"/>
                <w:sz w:val="24"/>
              </w:rPr>
              <w:t>Yes (Cowrie sessions)</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No</w:t>
            </w:r>
          </w:p>
        </w:tc>
      </w:tr>
      <w:tr>
        <w:tc>
          <w:tcPr>
            <w:tcW w:type="dxa" w:w="2340"/>
            <w:shd w:val="clear" w:color="auto" w:fill="FFFFFF"/>
          </w:tcPr>
          <w:p>
            <w:r>
              <w:rPr>
                <w:rFonts w:ascii="Calibri" w:hAnsi="Calibri"/>
                <w:sz w:val="24"/>
              </w:rPr>
              <w:t>WiFi monitoring</w:t>
            </w:r>
          </w:p>
        </w:tc>
        <w:tc>
          <w:tcPr>
            <w:tcW w:type="dxa" w:w="2340"/>
            <w:shd w:val="clear" w:color="auto" w:fill="FFFFFF"/>
          </w:tcPr>
          <w:p>
            <w:r>
              <w:rPr>
                <w:rFonts w:ascii="Calibri" w:hAnsi="Calibri"/>
                <w:sz w:val="24"/>
              </w:rPr>
              <w:t>Yes (probe requests + deauth)</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No</w:t>
            </w:r>
          </w:p>
        </w:tc>
      </w:tr>
      <w:tr>
        <w:tc>
          <w:tcPr>
            <w:tcW w:type="dxa" w:w="2340"/>
            <w:shd w:val="clear" w:color="auto" w:fill="F0F4F8"/>
          </w:tcPr>
          <w:p>
            <w:r>
              <w:rPr>
                <w:rFonts w:ascii="Calibri" w:hAnsi="Calibri"/>
                <w:sz w:val="24"/>
              </w:rPr>
              <w:t>Mobile dashboard</w:t>
            </w:r>
          </w:p>
        </w:tc>
        <w:tc>
          <w:tcPr>
            <w:tcW w:type="dxa" w:w="2340"/>
            <w:shd w:val="clear" w:color="auto" w:fill="F0F4F8"/>
          </w:tcPr>
          <w:p>
            <w:r>
              <w:rPr>
                <w:rFonts w:ascii="Calibri" w:hAnsi="Calibri"/>
                <w:sz w:val="24"/>
              </w:rPr>
              <w:t>Yes (Flutter Android)</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No</w:t>
            </w:r>
          </w:p>
        </w:tc>
      </w:tr>
      <w:tr>
        <w:tc>
          <w:tcPr>
            <w:tcW w:type="dxa" w:w="2340"/>
            <w:shd w:val="clear" w:color="auto" w:fill="FFFFFF"/>
          </w:tcPr>
          <w:p>
            <w:r>
              <w:rPr>
                <w:rFonts w:ascii="Calibri" w:hAnsi="Calibri"/>
                <w:sz w:val="24"/>
              </w:rPr>
              <w:t>Deployment cost</w:t>
            </w:r>
          </w:p>
        </w:tc>
        <w:tc>
          <w:tcPr>
            <w:tcW w:type="dxa" w:w="2340"/>
            <w:shd w:val="clear" w:color="auto" w:fill="FFFFFF"/>
          </w:tcPr>
          <w:p>
            <w:r>
              <w:rPr>
                <w:rFonts w:ascii="Calibri" w:hAnsi="Calibri"/>
                <w:sz w:val="24"/>
              </w:rPr>
              <w:t>&lt; $100 hardware</w:t>
            </w:r>
          </w:p>
        </w:tc>
        <w:tc>
          <w:tcPr>
            <w:tcW w:type="dxa" w:w="2340"/>
            <w:shd w:val="clear" w:color="auto" w:fill="FFFFFF"/>
          </w:tcPr>
          <w:p>
            <w:r>
              <w:rPr>
                <w:rFonts w:ascii="Calibri" w:hAnsi="Calibri"/>
                <w:sz w:val="24"/>
              </w:rPr>
              <w:t>Free (+ hardware)</w:t>
            </w:r>
          </w:p>
        </w:tc>
        <w:tc>
          <w:tcPr>
            <w:tcW w:type="dxa" w:w="2340"/>
            <w:shd w:val="clear" w:color="auto" w:fill="FFFFFF"/>
          </w:tcPr>
          <w:p>
            <w:r>
              <w:rPr>
                <w:rFonts w:ascii="Calibri" w:hAnsi="Calibri"/>
                <w:sz w:val="24"/>
              </w:rPr>
              <w:t>Free (+ hardware)</w:t>
            </w:r>
          </w:p>
        </w:tc>
      </w:tr>
      <w:tr>
        <w:tc>
          <w:tcPr>
            <w:tcW w:type="dxa" w:w="2340"/>
            <w:shd w:val="clear" w:color="auto" w:fill="F0F4F8"/>
          </w:tcPr>
          <w:p>
            <w:r>
              <w:rPr>
                <w:rFonts w:ascii="Calibri" w:hAnsi="Calibri"/>
                <w:sz w:val="24"/>
              </w:rPr>
              <w:t>Rule set coverage</w:t>
            </w:r>
          </w:p>
        </w:tc>
        <w:tc>
          <w:tcPr>
            <w:tcW w:type="dxa" w:w="2340"/>
            <w:shd w:val="clear" w:color="auto" w:fill="F0F4F8"/>
          </w:tcPr>
          <w:p>
            <w:r>
              <w:rPr>
                <w:rFonts w:ascii="Calibri" w:hAnsi="Calibri"/>
                <w:sz w:val="24"/>
              </w:rPr>
              <w:t>Limited (15 rules)</w:t>
            </w:r>
          </w:p>
        </w:tc>
        <w:tc>
          <w:tcPr>
            <w:tcW w:type="dxa" w:w="2340"/>
            <w:shd w:val="clear" w:color="auto" w:fill="F0F4F8"/>
          </w:tcPr>
          <w:p>
            <w:r>
              <w:rPr>
                <w:rFonts w:ascii="Calibri" w:hAnsi="Calibri"/>
                <w:sz w:val="24"/>
              </w:rPr>
              <w:t>Very broad</w:t>
            </w:r>
          </w:p>
        </w:tc>
        <w:tc>
          <w:tcPr>
            <w:tcW w:type="dxa" w:w="2340"/>
            <w:shd w:val="clear" w:color="auto" w:fill="F0F4F8"/>
          </w:tcPr>
          <w:p>
            <w:r>
              <w:rPr>
                <w:rFonts w:ascii="Calibri" w:hAnsi="Calibri"/>
                <w:sz w:val="24"/>
              </w:rPr>
              <w:t>Very broad</w:t>
            </w:r>
          </w:p>
        </w:tc>
      </w:tr>
      <w:tr>
        <w:tc>
          <w:tcPr>
            <w:tcW w:type="dxa" w:w="2340"/>
            <w:shd w:val="clear" w:color="auto" w:fill="FFFFFF"/>
          </w:tcPr>
          <w:p>
            <w:r>
              <w:rPr>
                <w:rFonts w:ascii="Calibri" w:hAnsi="Calibri"/>
                <w:sz w:val="24"/>
              </w:rPr>
              <w:t>Zero-day detection</w:t>
            </w:r>
          </w:p>
        </w:tc>
        <w:tc>
          <w:tcPr>
            <w:tcW w:type="dxa" w:w="2340"/>
            <w:shd w:val="clear" w:color="auto" w:fill="FFFFFF"/>
          </w:tcPr>
          <w:p>
            <w:r>
              <w:rPr>
                <w:rFonts w:ascii="Calibri" w:hAnsi="Calibri"/>
                <w:sz w:val="24"/>
              </w:rPr>
              <w:t>Partial (anomaly)</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No</w:t>
            </w:r>
          </w:p>
        </w:tc>
      </w:tr>
    </w:tbl>
    <w:p>
      <w:pPr>
        <w:spacing w:before="0" w:after="120" w:line="360" w:lineRule="auto"/>
        <w:jc w:val="center"/>
      </w:pPr>
      <w:r>
        <w:rPr>
          <w:rFonts w:ascii="Calibri" w:hAnsi="Calibri"/>
          <w:b w:val="0"/>
          <w:i/>
          <w:sz w:val="24"/>
        </w:rPr>
        <w:t>Table 6.4: Feature-level comparative evaluation of NTTH vs. Snort 3.1 vs. Suricata 7.0.</w:t>
      </w:r>
    </w:p>
    <w:p>
      <w:pPr>
        <w:spacing w:before="240" w:after="120" w:line="360" w:lineRule="auto"/>
      </w:pPr>
      <w:r>
        <w:rPr>
          <w:rFonts w:ascii="Calibri" w:hAnsi="Calibri"/>
          <w:b/>
          <w:i w:val="0"/>
          <w:sz w:val="26"/>
        </w:rPr>
        <w:t>6.5 Honeypot Effectiveness</w:t>
      </w:r>
    </w:p>
    <w:p>
      <w:pPr>
        <w:spacing w:before="0" w:after="120" w:line="360" w:lineRule="auto"/>
        <w:jc w:val="both"/>
      </w:pPr>
      <w:r>
        <w:rPr>
          <w:rFonts w:ascii="Calibri" w:hAnsi="Calibri"/>
          <w:b w:val="0"/>
          <w:i w:val="0"/>
          <w:sz w:val="24"/>
        </w:rPr>
        <w:t>Over the three days of attack testing, NTTH captured two honeypot sessions from controlled attack experiments. Both sessions provided actionable threat intelligence: the credential lists used, post-authentication command sequences, and download server addresses. The practical intelligence value lies in three data categories: credential lists (can be used to harden authentication), post-authentication behavior (reveals attacker objectives), and download server addresses (can be submitted to threat intelligence platforms).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Metric</w:t>
            </w:r>
          </w:p>
        </w:tc>
        <w:tc>
          <w:tcPr>
            <w:tcW w:type="dxa" w:w="3120"/>
            <w:shd w:val="clear" w:color="auto" w:fill="1B3A5C"/>
          </w:tcPr>
          <w:p>
            <w:pPr>
              <w:jc w:val="left"/>
            </w:pPr>
            <w:r>
              <w:rPr>
                <w:rFonts w:ascii="Calibri" w:hAnsi="Calibri"/>
                <w:b/>
                <w:color w:val="FFFFFF"/>
                <w:sz w:val="24"/>
              </w:rPr>
              <w:t>Session 1 (T3 High)</w:t>
            </w:r>
          </w:p>
        </w:tc>
        <w:tc>
          <w:tcPr>
            <w:tcW w:type="dxa" w:w="3120"/>
            <w:shd w:val="clear" w:color="auto" w:fill="1B3A5C"/>
          </w:tcPr>
          <w:p>
            <w:pPr>
              <w:jc w:val="left"/>
            </w:pPr>
            <w:r>
              <w:rPr>
                <w:rFonts w:ascii="Calibri" w:hAnsi="Calibri"/>
                <w:b/>
                <w:color w:val="FFFFFF"/>
                <w:sz w:val="24"/>
              </w:rPr>
              <w:t>Session 2 (T2+T3)</w:t>
            </w:r>
          </w:p>
        </w:tc>
      </w:tr>
      <w:tr>
        <w:tc>
          <w:tcPr>
            <w:tcW w:type="dxa" w:w="3120"/>
            <w:shd w:val="clear" w:color="auto" w:fill="F0F4F8"/>
          </w:tcPr>
          <w:p>
            <w:r>
              <w:rPr>
                <w:rFonts w:ascii="Calibri" w:hAnsi="Calibri"/>
                <w:sz w:val="24"/>
              </w:rPr>
              <w:t>Duration</w:t>
            </w:r>
          </w:p>
        </w:tc>
        <w:tc>
          <w:tcPr>
            <w:tcW w:type="dxa" w:w="3120"/>
            <w:shd w:val="clear" w:color="auto" w:fill="F0F4F8"/>
          </w:tcPr>
          <w:p>
            <w:r>
              <w:rPr>
                <w:rFonts w:ascii="Calibri" w:hAnsi="Calibri"/>
                <w:sz w:val="24"/>
              </w:rPr>
              <w:t>3m 42s</w:t>
            </w:r>
          </w:p>
        </w:tc>
        <w:tc>
          <w:tcPr>
            <w:tcW w:type="dxa" w:w="3120"/>
            <w:shd w:val="clear" w:color="auto" w:fill="F0F4F8"/>
          </w:tcPr>
          <w:p>
            <w:r>
              <w:rPr>
                <w:rFonts w:ascii="Calibri" w:hAnsi="Calibri"/>
                <w:sz w:val="24"/>
              </w:rPr>
              <w:t>1m 18s</w:t>
            </w:r>
          </w:p>
        </w:tc>
      </w:tr>
      <w:tr>
        <w:tc>
          <w:tcPr>
            <w:tcW w:type="dxa" w:w="3120"/>
            <w:shd w:val="clear" w:color="auto" w:fill="FFFFFF"/>
          </w:tcPr>
          <w:p>
            <w:r>
              <w:rPr>
                <w:rFonts w:ascii="Calibri" w:hAnsi="Calibri"/>
                <w:sz w:val="24"/>
              </w:rPr>
              <w:t>Auth attempts</w:t>
            </w:r>
          </w:p>
        </w:tc>
        <w:tc>
          <w:tcPr>
            <w:tcW w:type="dxa" w:w="3120"/>
            <w:shd w:val="clear" w:color="auto" w:fill="FFFFFF"/>
          </w:tcPr>
          <w:p>
            <w:r>
              <w:rPr>
                <w:rFonts w:ascii="Calibri" w:hAnsi="Calibri"/>
                <w:sz w:val="24"/>
              </w:rPr>
              <w:t>284</w:t>
            </w:r>
          </w:p>
        </w:tc>
        <w:tc>
          <w:tcPr>
            <w:tcW w:type="dxa" w:w="3120"/>
            <w:shd w:val="clear" w:color="auto" w:fill="FFFFFF"/>
          </w:tcPr>
          <w:p>
            <w:r>
              <w:rPr>
                <w:rFonts w:ascii="Calibri" w:hAnsi="Calibri"/>
                <w:sz w:val="24"/>
              </w:rPr>
              <w:t>96</w:t>
            </w:r>
          </w:p>
        </w:tc>
      </w:tr>
      <w:tr>
        <w:tc>
          <w:tcPr>
            <w:tcW w:type="dxa" w:w="3120"/>
            <w:shd w:val="clear" w:color="auto" w:fill="F0F4F8"/>
          </w:tcPr>
          <w:p>
            <w:r>
              <w:rPr>
                <w:rFonts w:ascii="Calibri" w:hAnsi="Calibri"/>
                <w:sz w:val="24"/>
              </w:rPr>
              <w:t>Unique credentials</w:t>
            </w:r>
          </w:p>
        </w:tc>
        <w:tc>
          <w:tcPr>
            <w:tcW w:type="dxa" w:w="3120"/>
            <w:shd w:val="clear" w:color="auto" w:fill="F0F4F8"/>
          </w:tcPr>
          <w:p>
            <w:r>
              <w:rPr>
                <w:rFonts w:ascii="Calibri" w:hAnsi="Calibri"/>
                <w:sz w:val="24"/>
              </w:rPr>
              <w:t>248</w:t>
            </w:r>
          </w:p>
        </w:tc>
        <w:tc>
          <w:tcPr>
            <w:tcW w:type="dxa" w:w="3120"/>
            <w:shd w:val="clear" w:color="auto" w:fill="F0F4F8"/>
          </w:tcPr>
          <w:p>
            <w:r>
              <w:rPr>
                <w:rFonts w:ascii="Calibri" w:hAnsi="Calibri"/>
                <w:sz w:val="24"/>
              </w:rPr>
              <w:t>89</w:t>
            </w:r>
          </w:p>
        </w:tc>
      </w:tr>
      <w:tr>
        <w:tc>
          <w:tcPr>
            <w:tcW w:type="dxa" w:w="3120"/>
            <w:shd w:val="clear" w:color="auto" w:fill="FFFFFF"/>
          </w:tcPr>
          <w:p>
            <w:r>
              <w:rPr>
                <w:rFonts w:ascii="Calibri" w:hAnsi="Calibri"/>
                <w:sz w:val="24"/>
              </w:rPr>
              <w:t>Post-auth commands</w:t>
            </w:r>
          </w:p>
        </w:tc>
        <w:tc>
          <w:tcPr>
            <w:tcW w:type="dxa" w:w="3120"/>
            <w:shd w:val="clear" w:color="auto" w:fill="FFFFFF"/>
          </w:tcPr>
          <w:p>
            <w:r>
              <w:rPr>
                <w:rFonts w:ascii="Calibri" w:hAnsi="Calibri"/>
                <w:sz w:val="24"/>
              </w:rPr>
              <w:t>5</w:t>
            </w:r>
          </w:p>
        </w:tc>
        <w:tc>
          <w:tcPr>
            <w:tcW w:type="dxa" w:w="3120"/>
            <w:shd w:val="clear" w:color="auto" w:fill="FFFFFF"/>
          </w:tcPr>
          <w:p>
            <w:r>
              <w:rPr>
                <w:rFonts w:ascii="Calibri" w:hAnsi="Calibri"/>
                <w:sz w:val="24"/>
              </w:rPr>
              <w:t>3</w:t>
            </w:r>
          </w:p>
        </w:tc>
      </w:tr>
      <w:tr>
        <w:tc>
          <w:tcPr>
            <w:tcW w:type="dxa" w:w="3120"/>
            <w:shd w:val="clear" w:color="auto" w:fill="F0F4F8"/>
          </w:tcPr>
          <w:p>
            <w:r>
              <w:rPr>
                <w:rFonts w:ascii="Calibri" w:hAnsi="Calibri"/>
                <w:sz w:val="24"/>
              </w:rPr>
              <w:t>Download attempts</w:t>
            </w:r>
          </w:p>
        </w:tc>
        <w:tc>
          <w:tcPr>
            <w:tcW w:type="dxa" w:w="3120"/>
            <w:shd w:val="clear" w:color="auto" w:fill="F0F4F8"/>
          </w:tcPr>
          <w:p>
            <w:r>
              <w:rPr>
                <w:rFonts w:ascii="Calibri" w:hAnsi="Calibri"/>
                <w:sz w:val="24"/>
              </w:rPr>
              <w:t>1</w:t>
            </w:r>
          </w:p>
        </w:tc>
        <w:tc>
          <w:tcPr>
            <w:tcW w:type="dxa" w:w="3120"/>
            <w:shd w:val="clear" w:color="auto" w:fill="F0F4F8"/>
          </w:tcPr>
          <w:p>
            <w:r>
              <w:rPr>
                <w:rFonts w:ascii="Calibri" w:hAnsi="Calibri"/>
                <w:sz w:val="24"/>
              </w:rPr>
              <w:t>1</w:t>
            </w:r>
          </w:p>
        </w:tc>
      </w:tr>
      <w:tr>
        <w:tc>
          <w:tcPr>
            <w:tcW w:type="dxa" w:w="3120"/>
            <w:shd w:val="clear" w:color="auto" w:fill="FFFFFF"/>
          </w:tcPr>
          <w:p>
            <w:r>
              <w:rPr>
                <w:rFonts w:ascii="Calibri" w:hAnsi="Calibri"/>
                <w:sz w:val="24"/>
              </w:rPr>
              <w:t>Attacker tool signatures</w:t>
            </w:r>
          </w:p>
        </w:tc>
        <w:tc>
          <w:tcPr>
            <w:tcW w:type="dxa" w:w="3120"/>
            <w:shd w:val="clear" w:color="auto" w:fill="FFFFFF"/>
          </w:tcPr>
          <w:p>
            <w:r>
              <w:rPr>
                <w:rFonts w:ascii="Calibri" w:hAnsi="Calibri"/>
                <w:sz w:val="24"/>
              </w:rPr>
              <w:t>Hydra 9.5 (banner detected)</w:t>
            </w:r>
          </w:p>
        </w:tc>
        <w:tc>
          <w:tcPr>
            <w:tcW w:type="dxa" w:w="3120"/>
            <w:shd w:val="clear" w:color="auto" w:fill="FFFFFF"/>
          </w:tcPr>
          <w:p>
            <w:r>
              <w:rPr>
                <w:rFonts w:ascii="Calibri" w:hAnsi="Calibri"/>
                <w:sz w:val="24"/>
              </w:rPr>
              <w:t>Medusa 2.3 (banner detected)</w:t>
            </w:r>
          </w:p>
        </w:tc>
      </w:tr>
    </w:tbl>
    <w:p>
      <w:pPr>
        <w:spacing w:before="0" w:after="120" w:line="360" w:lineRule="auto"/>
        <w:jc w:val="center"/>
      </w:pPr>
      <w:r>
        <w:rPr>
          <w:rFonts w:ascii="Calibri" w:hAnsi="Calibri"/>
          <w:b w:val="0"/>
          <w:i/>
          <w:sz w:val="24"/>
        </w:rPr>
        <w:t>Table 6.5: Honeypot session summary for the two captured attacker sessions during controlled testing.</w:t>
      </w:r>
    </w:p>
    <w:p>
      <w:pPr>
        <w:spacing w:before="240" w:after="120" w:line="360" w:lineRule="auto"/>
      </w:pPr>
      <w:r>
        <w:rPr>
          <w:rFonts w:ascii="Calibri" w:hAnsi="Calibri"/>
          <w:b/>
          <w:i w:val="0"/>
          <w:sz w:val="26"/>
        </w:rPr>
        <w:t>6.6 WiFi Monitor Performance</w:t>
      </w:r>
    </w:p>
    <w:p>
      <w:pPr>
        <w:spacing w:before="0" w:after="120" w:line="360" w:lineRule="auto"/>
        <w:jc w:val="both"/>
      </w:pPr>
      <w:r>
        <w:rPr>
          <w:rFonts w:ascii="Calibri" w:hAnsi="Calibri"/>
          <w:b w:val="0"/>
          <w:i w:val="0"/>
          <w:sz w:val="24"/>
        </w:rPr>
        <w:t>The WiFi monitoring module was tested using a secondary laptop configured to generate high-rate probe requests (using mdk4's probe request flooding mode) and deauthentication frames (using aireplay-ng). The probe request flood — 85 probes per 10-second window, above the 30 per 60-second threshold — was detected within the first sampling window (100% detection rate). The deauthentication attack — 47 frames in the first 10-second window, above the 20-frame threshold — was also detected immediately.</w:t>
      </w:r>
    </w:p>
    <w:p>
      <w:pPr>
        <w:spacing w:before="0" w:after="120" w:line="360" w:lineRule="auto"/>
        <w:jc w:val="both"/>
      </w:pPr>
      <w:r>
        <w:rPr>
          <w:rFonts w:ascii="Calibri" w:hAnsi="Calibri"/>
          <w:b w:val="0"/>
          <w:i w:val="0"/>
          <w:sz w:val="24"/>
        </w:rPr>
        <w:t>One limitation observed was MAC address randomization in modern client devices. The test laptop, running Ubuntu 22.04, uses MAC randomization for probe requests by default, meaning consecutive probe windows from the same physical device may show different source MAC addresses. This is a known limitation shared by all WiFi monitoring systems on modern device populations and is noted as future work.</w:t>
      </w:r>
    </w:p>
    <w:p>
      <w:r>
        <w:br w:type="page"/>
      </w:r>
    </w:p>
    <w:p>
      <w:pPr>
        <w:jc w:val="center"/>
      </w:pPr>
      <w:r>
        <w:rPr>
          <w:rFonts w:ascii="Calibri" w:hAnsi="Calibri"/>
          <w:b/>
          <w:i w:val="0"/>
          <w:color w:val="1B3A5C"/>
          <w:sz w:val="26"/>
        </w:rPr>
        <w:t>CHAPTER 7</w:t>
      </w:r>
    </w:p>
    <w:p>
      <w:pPr>
        <w:spacing w:before="240" w:after="120" w:line="360" w:lineRule="auto"/>
        <w:jc w:val="center"/>
      </w:pPr>
      <w:r>
        <w:rPr>
          <w:rFonts w:ascii="Calibri" w:hAnsi="Calibri"/>
          <w:b/>
          <w:i w:val="0"/>
          <w:sz w:val="28"/>
        </w:rPr>
        <w:t>Conclusion and Future Work</w:t>
      </w:r>
    </w:p>
    <w:p>
      <w:pPr>
        <w:spacing w:before="240" w:after="120" w:line="360" w:lineRule="auto"/>
      </w:pPr>
      <w:r>
        <w:rPr>
          <w:rFonts w:ascii="Calibri" w:hAnsi="Calibri"/>
          <w:b/>
          <w:i w:val="0"/>
          <w:sz w:val="26"/>
        </w:rPr>
        <w:t>7.1 Summary of Achievements</w:t>
      </w:r>
    </w:p>
    <w:p>
      <w:pPr>
        <w:spacing w:before="0" w:after="120" w:line="360" w:lineRule="auto"/>
        <w:jc w:val="both"/>
      </w:pPr>
      <w:r>
        <w:rPr>
          <w:rFonts w:ascii="Calibri" w:hAnsi="Calibri"/>
          <w:b w:val="0"/>
          <w:i w:val="0"/>
          <w:sz w:val="24"/>
        </w:rPr>
        <w:t>This project set out to demonstrate that a fully autonomous, closed-loop network defense system — capable of detecting, scoring, and enforcing against network threats without human intervention — could be built and validated on commodity hardware within the resource constraints of an undergraduate research project. The results support that claim.</w:t>
      </w:r>
    </w:p>
    <w:p>
      <w:pPr>
        <w:spacing w:before="0" w:after="120" w:line="360" w:lineRule="auto"/>
        <w:jc w:val="both"/>
      </w:pPr>
      <w:r>
        <w:rPr>
          <w:rFonts w:ascii="Calibri" w:hAnsi="Calibri"/>
          <w:b w:val="0"/>
          <w:i w:val="0"/>
          <w:sz w:val="24"/>
        </w:rPr>
        <w:t>NTTH achieved 100% detection across all six tested attack categories, outperforming Snort and Suricata on the slow-rate HTTP fuzzing scenario through anomaly detection. The mean end-to-end response time of 312ms represents a practical reduction from the 15–30 minute manual response baseline. The flow-aware honeypot redirection mechanism captured two actionable attacker sessions during controlled testing, demonstrating the intelligence-gathering value that simple blocking forfeits.</w:t>
      </w:r>
    </w:p>
    <w:p>
      <w:pPr>
        <w:spacing w:before="0" w:after="120" w:line="360" w:lineRule="auto"/>
        <w:jc w:val="both"/>
      </w:pPr>
      <w:r>
        <w:rPr>
          <w:rFonts w:ascii="Calibri" w:hAnsi="Calibri"/>
          <w:b w:val="0"/>
          <w:i w:val="0"/>
          <w:sz w:val="24"/>
        </w:rPr>
        <w:t>The system architecture — five autonomous agent stages communicating through Redis Pub/Sub, with a Flutter dashboard providing real-time cross-platform visibility — proved stable throughout three days of continuous operation including active attack experiments. No agent failures, memory leaks, or database corruption were observed. Startup time from docker compose up to fully operational state was consistently 12 seconds.</w:t>
      </w:r>
    </w:p>
    <w:p>
      <w:pPr>
        <w:spacing w:before="0" w:after="120" w:line="360" w:lineRule="auto"/>
        <w:jc w:val="both"/>
      </w:pPr>
      <w:r>
        <w:rPr>
          <w:rFonts w:ascii="Calibri" w:hAnsi="Calibri"/>
          <w:b w:val="0"/>
          <w:i w:val="0"/>
          <w:sz w:val="24"/>
        </w:rPr>
        <w:t>From a technical perspective, the most significant contribution is the demonstration that a combination of a 10-dimensional traffic feature vector, an Isolation Forest anomaly detector trained on locally captured normal traffic, and a set of 15 handwritten IDS rules can produce a composite risk score that drives meaningful automated enforcement decisions on a live test network without generating unacceptable false positive rates (3.2% observed vs. 6.4–8.1% for standalone Snort/Suricata).</w:t>
      </w:r>
    </w:p>
    <w:p>
      <w:pPr>
        <w:spacing w:before="240" w:after="120" w:line="360" w:lineRule="auto"/>
      </w:pPr>
      <w:r>
        <w:rPr>
          <w:rFonts w:ascii="Calibri" w:hAnsi="Calibri"/>
          <w:b/>
          <w:i w:val="0"/>
          <w:sz w:val="26"/>
        </w:rPr>
        <w:t>7.2 Limitations of the Current System</w:t>
      </w:r>
    </w:p>
    <w:p>
      <w:pPr>
        <w:spacing w:before="0" w:after="120" w:line="360" w:lineRule="auto"/>
        <w:jc w:val="both"/>
      </w:pPr>
      <w:r>
        <w:rPr>
          <w:rFonts w:ascii="Calibri" w:hAnsi="Calibri"/>
          <w:b w:val="0"/>
          <w:i w:val="0"/>
          <w:sz w:val="24"/>
        </w:rPr>
        <w:t>The IDS rule set of 15 rules covers the most common attack categories in the test environment but is not comparable in breadth to the Emerging Threats or Snort Community ruleset. For production deployment in environments with diverse attack surfaces, the rule engine would need significant expansion.</w:t>
      </w:r>
    </w:p>
    <w:p>
      <w:pPr>
        <w:spacing w:before="0" w:after="120" w:line="360" w:lineRule="auto"/>
        <w:jc w:val="both"/>
      </w:pPr>
      <w:r>
        <w:rPr>
          <w:rFonts w:ascii="Calibri" w:hAnsi="Calibri"/>
          <w:b w:val="0"/>
          <w:i w:val="0"/>
          <w:sz w:val="24"/>
        </w:rPr>
        <w:t>The Isolation Forest model is trained on normal traffic from a specific test environment. Its anomaly scoring will not generalize without retraining to networks with significantly different traffic profiles. The retraining pipeline mitigates gradual drift but does not address deployment to an entirely new network context.</w:t>
      </w:r>
    </w:p>
    <w:p>
      <w:pPr>
        <w:spacing w:before="0" w:after="120" w:line="360" w:lineRule="auto"/>
        <w:jc w:val="both"/>
      </w:pPr>
      <w:r>
        <w:rPr>
          <w:rFonts w:ascii="Calibri" w:hAnsi="Calibri"/>
          <w:b w:val="0"/>
          <w:i w:val="0"/>
          <w:sz w:val="24"/>
        </w:rPr>
        <w:t>The system does not handle encrypted traffic. TLS-encrypted attack channels are invisible to the packet-level feature extractor and the IDS rule engine. MAC address randomization in modern client devices limits the effectiveness of per-MAC probe rate detection. Finally, autonomous enforcement carries a risk of collateral damage for incorrectly scored legitimate hosts, mitigated by configurable thresholds and automatic rule expiry.</w:t>
      </w:r>
    </w:p>
    <w:p>
      <w:pPr>
        <w:spacing w:before="240" w:after="120" w:line="360" w:lineRule="auto"/>
      </w:pPr>
      <w:r>
        <w:rPr>
          <w:rFonts w:ascii="Calibri" w:hAnsi="Calibri"/>
          <w:b/>
          <w:i w:val="0"/>
          <w:sz w:val="26"/>
        </w:rPr>
        <w:t>7.3 Future Work</w:t>
      </w:r>
    </w:p>
    <w:p>
      <w:pPr>
        <w:spacing w:before="0" w:after="120" w:line="360" w:lineRule="auto"/>
        <w:jc w:val="both"/>
      </w:pPr>
      <w:r>
        <w:rPr>
          <w:rFonts w:ascii="Calibri" w:hAnsi="Calibri"/>
          <w:b w:val="0"/>
          <w:i w:val="0"/>
          <w:sz w:val="24"/>
        </w:rPr>
        <w:t>The most impactful near-term improvement would be integration with the Snort or Suricata rule engine as a drop-in replacement for the custom 15-rule set, while retaining NTTH's composite scoring, autonomous enforcement, and honeypot redirection. This would immediately expand detection coverage to the full Emerging Threats ruleset without requiring custom rule authoring.</w:t>
      </w:r>
    </w:p>
    <w:p>
      <w:pPr>
        <w:spacing w:before="0" w:after="120" w:line="360" w:lineRule="auto"/>
        <w:jc w:val="both"/>
      </w:pPr>
      <w:r>
        <w:rPr>
          <w:rFonts w:ascii="Calibri" w:hAnsi="Calibri"/>
          <w:b w:val="0"/>
          <w:i w:val="0"/>
          <w:sz w:val="24"/>
        </w:rPr>
        <w:t>Replacing the subprocess-based nftables interface with the python-nftables library could reduce enforcement stage latency from ~171ms to ~30ms, bringing total pipeline response time to approximately 150ms. Online learning for the anomaly detector — replacing weekly offline retraining with incremental updates using Half-Space Trees or streaming random forests — would improve adaptation to rapidly changing network conditions.</w:t>
      </w:r>
    </w:p>
    <w:p>
      <w:pPr>
        <w:spacing w:before="0" w:after="120" w:line="360" w:lineRule="auto"/>
        <w:jc w:val="both"/>
      </w:pPr>
      <w:r>
        <w:rPr>
          <w:rFonts w:ascii="Calibri" w:hAnsi="Calibri"/>
          <w:b w:val="0"/>
          <w:i w:val="0"/>
          <w:sz w:val="24"/>
        </w:rPr>
        <w:t>The WiFi monitoring module would benefit from a probabilistic device grouping approach that clusters probe requests by signal strength and temporal correlation rather than MAC address, as a partial mitigation for MAC randomization. Extending the honeypot infrastructure to include a high-interaction option would capture more complex attacker behavior at the cost of increased operational risk requiring careful sandboxing.</w:t>
      </w:r>
    </w:p>
    <w:p>
      <w:pPr>
        <w:spacing w:before="240" w:after="120" w:line="360" w:lineRule="auto"/>
      </w:pPr>
      <w:r>
        <w:rPr>
          <w:rFonts w:ascii="Calibri" w:hAnsi="Calibri"/>
          <w:b/>
          <w:i w:val="0"/>
          <w:sz w:val="26"/>
        </w:rPr>
        <w:t>7.4 Final Remarks</w:t>
      </w:r>
    </w:p>
    <w:p>
      <w:pPr>
        <w:spacing w:before="0" w:after="120" w:line="360" w:lineRule="auto"/>
        <w:jc w:val="both"/>
      </w:pPr>
      <w:r>
        <w:rPr>
          <w:rFonts w:ascii="Calibri" w:hAnsi="Calibri"/>
          <w:b w:val="0"/>
          <w:i w:val="0"/>
          <w:sz w:val="24"/>
        </w:rPr>
        <w:t>NTTH demonstrates that the core components of an autonomous network defense system — real-time packet capture, hybrid threat scoring, autonomous firewall enforcement, and honeypot-based intelligence gathering — can be assembled into a functional, deployable system from open-source components on commodity hardware. The results from controlled attack testing show that the system performs meaningfully better than alert-only IDS tools on response time, and adds capabilities that those tools do not provide.</w:t>
      </w:r>
    </w:p>
    <w:p>
      <w:pPr>
        <w:spacing w:before="0" w:after="120" w:line="360" w:lineRule="auto"/>
        <w:jc w:val="both"/>
      </w:pPr>
      <w:r>
        <w:rPr>
          <w:rFonts w:ascii="Calibri" w:hAnsi="Calibri"/>
          <w:b w:val="0"/>
          <w:i w:val="0"/>
          <w:sz w:val="24"/>
        </w:rPr>
        <w:t>The project's practical contribution is not a production-ready replacement for enterprise security infrastructure, but a validated proof of concept for the autonomous closed-loop defense pipeline architecture. The individual components — the hybrid risk scorer, the flow-aware DNAT redirect mechanism, the modular agent pipeline — are designed to be independently extended and integrated into more comprehensive systems. Making these patterns accessible in open-source form is the project's intended lasting contribution to the network security tooling landscape.</w:t>
      </w:r>
    </w:p>
    <w:p>
      <w:r>
        <w:br w:type="page"/>
      </w:r>
    </w:p>
    <w:p>
      <w:pPr>
        <w:spacing w:before="240" w:after="120" w:line="360" w:lineRule="auto"/>
        <w:jc w:val="center"/>
      </w:pPr>
      <w:r>
        <w:rPr>
          <w:rFonts w:ascii="Calibri" w:hAnsi="Calibri"/>
          <w:b/>
          <w:i w:val="0"/>
          <w:sz w:val="28"/>
        </w:rPr>
        <w:t>REFERENCES</w:t>
      </w:r>
    </w:p>
    <w:p>
      <w:pPr>
        <w:spacing w:before="0" w:after="100" w:line="360" w:lineRule="auto"/>
        <w:ind w:left="504" w:hanging="504"/>
        <w:jc w:val="both"/>
      </w:pPr>
      <w:r>
        <w:rPr>
          <w:rFonts w:ascii="Calibri" w:hAnsi="Calibri"/>
          <w:sz w:val="24"/>
        </w:rPr>
        <w:t>[1] M. Roesch, "Snort — Lightweight Intrusion Detection for Networks," in Proceedings of the 13th USENIX Conference on System Administration (LISA '99), USENIX Association, 1999, pp. 229–238.</w:t>
      </w:r>
    </w:p>
    <w:p>
      <w:pPr>
        <w:spacing w:before="0" w:after="100" w:line="360" w:lineRule="auto"/>
        <w:ind w:left="504" w:hanging="504"/>
        <w:jc w:val="both"/>
      </w:pPr>
      <w:r>
        <w:rPr>
          <w:rFonts w:ascii="Calibri" w:hAnsi="Calibri"/>
          <w:sz w:val="24"/>
        </w:rPr>
        <w:t>[2] OISF Development Team, Suricata: Open Source IDS/IPS/NSM Engine, Open Information Security Foundation, 2023. [Online]. Available: https://suricata.io</w:t>
      </w:r>
    </w:p>
    <w:p>
      <w:pPr>
        <w:spacing w:before="0" w:after="100" w:line="360" w:lineRule="auto"/>
        <w:ind w:left="504" w:hanging="504"/>
        <w:jc w:val="both"/>
      </w:pPr>
      <w:r>
        <w:rPr>
          <w:rFonts w:ascii="Calibri" w:hAnsi="Calibri"/>
          <w:sz w:val="24"/>
        </w:rPr>
        <w:t>[3] E. Albin and N. C. Rowe, "A Realistic Experimental Comparison of the Suricata and Snort Intrusion-Detection Systems," in Proceedings of the 26th IEEE International Symposium on Advanced Information Networking and Applications Workshops, IEEE, 2012, pp. 122–127.</w:t>
      </w:r>
    </w:p>
    <w:p>
      <w:pPr>
        <w:spacing w:before="0" w:after="100" w:line="360" w:lineRule="auto"/>
        <w:ind w:left="504" w:hanging="504"/>
        <w:jc w:val="both"/>
      </w:pPr>
      <w:r>
        <w:rPr>
          <w:rFonts w:ascii="Calibri" w:hAnsi="Calibri"/>
          <w:sz w:val="24"/>
        </w:rPr>
        <w:t>[4] I. Sharafaldin, A. Habibi Lashkari, and A. A. Ghorbani, "Toward Generating a New Intrusion Detection Dataset and Intrusion Traffic Characterization," in Proceedings of the 4th International Conference on Information Systems Security and Privacy (ICISSP 2018), pp. 108–116, 2018.</w:t>
      </w:r>
    </w:p>
    <w:p>
      <w:pPr>
        <w:spacing w:before="0" w:after="100" w:line="360" w:lineRule="auto"/>
        <w:ind w:left="504" w:hanging="504"/>
        <w:jc w:val="both"/>
      </w:pPr>
      <w:r>
        <w:rPr>
          <w:rFonts w:ascii="Calibri" w:hAnsi="Calibri"/>
          <w:sz w:val="24"/>
        </w:rPr>
        <w:t>[5] D. E. Denning, "An Intrusion-Detection Model," IEEE Transactions on Software Engineering, vol. SE-13, no. 2, pp. 222–232, Feb. 1987, doi: 10.1109/TSE.1987.232894.</w:t>
      </w:r>
    </w:p>
    <w:p>
      <w:pPr>
        <w:spacing w:before="0" w:after="100" w:line="360" w:lineRule="auto"/>
        <w:ind w:left="504" w:hanging="504"/>
        <w:jc w:val="both"/>
      </w:pPr>
      <w:r>
        <w:rPr>
          <w:rFonts w:ascii="Calibri" w:hAnsi="Calibri"/>
          <w:sz w:val="24"/>
        </w:rPr>
        <w:t>[6] L. Portnoy, E. Eskin, and S. Stolfo, "Intrusion Detection with Unlabeled Data Using Clustering," in Proceedings of ACM CSS Workshop on Data Mining Applied to Security, 2001.</w:t>
      </w:r>
    </w:p>
    <w:p>
      <w:pPr>
        <w:spacing w:before="0" w:after="100" w:line="360" w:lineRule="auto"/>
        <w:ind w:left="504" w:hanging="504"/>
        <w:jc w:val="both"/>
      </w:pPr>
      <w:r>
        <w:rPr>
          <w:rFonts w:ascii="Calibri" w:hAnsi="Calibri"/>
          <w:sz w:val="24"/>
        </w:rPr>
        <w:t>[7] S. Mukkamala, G. Janoski, and A. Sung, "Intrusion Detection Using Neural Networks and Support Vector Machines," in Proceedings of the 2002 International Joint Conference on Neural Networks (IJCNN 2002), IEEE, 2002, vol. 2, pp. 1702–1707.</w:t>
      </w:r>
    </w:p>
    <w:p>
      <w:pPr>
        <w:spacing w:before="0" w:after="100" w:line="360" w:lineRule="auto"/>
        <w:ind w:left="504" w:hanging="504"/>
        <w:jc w:val="both"/>
      </w:pPr>
      <w:r>
        <w:rPr>
          <w:rFonts w:ascii="Calibri" w:hAnsi="Calibri"/>
          <w:sz w:val="24"/>
        </w:rPr>
        <w:t>[8] M. Tavallaee, E. Bagheri, W. Lu, and A. A. Ghorbani, "A Detailed Analysis of the KDD CUP 99 Data Set," in Proceedings of the 2009 IEEE Symposium on Computational Intelligence for Security and Defense Applications, IEEE, 2009, pp. 1–6.</w:t>
      </w:r>
    </w:p>
    <w:p>
      <w:pPr>
        <w:spacing w:before="0" w:after="100" w:line="360" w:lineRule="auto"/>
        <w:ind w:left="504" w:hanging="504"/>
        <w:jc w:val="both"/>
      </w:pPr>
      <w:r>
        <w:rPr>
          <w:rFonts w:ascii="Calibri" w:hAnsi="Calibri"/>
          <w:sz w:val="24"/>
        </w:rPr>
        <w:t>[9] F. T. Liu, K. M. Ting, and Z.-H. Zhou, "Isolation Forest," in Proceedings of the 8th IEEE International Conference on Data Mining (ICDM 2008), IEEE, 2008, pp. 413–422, doi: 10.1109/ICDM.2008.17.</w:t>
      </w:r>
    </w:p>
    <w:p>
      <w:pPr>
        <w:spacing w:before="0" w:after="100" w:line="360" w:lineRule="auto"/>
        <w:ind w:left="504" w:hanging="504"/>
        <w:jc w:val="both"/>
      </w:pPr>
      <w:r>
        <w:rPr>
          <w:rFonts w:ascii="Calibri" w:hAnsi="Calibri"/>
          <w:sz w:val="24"/>
        </w:rPr>
        <w:t>[10] V. Cao, J. He, Y. Li, and X. Zhao, "Anomaly Detection in Network Traffic Using Isolation Forest," Journal of Network and Computer Applications, vol. 185, 2021, Art. no. 103044.</w:t>
      </w:r>
    </w:p>
    <w:p>
      <w:pPr>
        <w:spacing w:before="0" w:after="100" w:line="360" w:lineRule="auto"/>
        <w:ind w:left="504" w:hanging="504"/>
        <w:jc w:val="both"/>
      </w:pPr>
      <w:r>
        <w:rPr>
          <w:rFonts w:ascii="Calibri" w:hAnsi="Calibri"/>
          <w:sz w:val="24"/>
        </w:rPr>
        <w:t>[11] K. Yamanishi et al., "On-Line Unsupervised Outlier Detection Using Finite Mixtures with Discounting Learning Algorithms," Data Mining and Knowledge Discovery, vol. 8, no. 3, pp. 275–300, 2004.</w:t>
      </w:r>
    </w:p>
    <w:p>
      <w:pPr>
        <w:spacing w:before="0" w:after="100" w:line="360" w:lineRule="auto"/>
        <w:ind w:left="504" w:hanging="504"/>
        <w:jc w:val="both"/>
      </w:pPr>
      <w:r>
        <w:rPr>
          <w:rFonts w:ascii="Calibri" w:hAnsi="Calibri"/>
          <w:sz w:val="24"/>
        </w:rPr>
        <w:t>[12] L. Spitzner, Honeypots: Tracking Hackers. Addison-Wesley, Boston, MA, 2002, ISBN 0-201-74829-8.</w:t>
      </w:r>
    </w:p>
    <w:p>
      <w:pPr>
        <w:spacing w:before="0" w:after="100" w:line="360" w:lineRule="auto"/>
        <w:ind w:left="504" w:hanging="504"/>
        <w:jc w:val="both"/>
      </w:pPr>
      <w:r>
        <w:rPr>
          <w:rFonts w:ascii="Calibri" w:hAnsi="Calibri"/>
          <w:sz w:val="24"/>
        </w:rPr>
        <w:t>[13] M. Oosterhof, "Cowrie SSH/Telnet Honeypot," GitHub Repository, 2023. [Online]. Available: https://github.com/cowrie/cowrie</w:t>
      </w:r>
    </w:p>
    <w:p>
      <w:pPr>
        <w:spacing w:before="0" w:after="100" w:line="360" w:lineRule="auto"/>
        <w:ind w:left="504" w:hanging="504"/>
        <w:jc w:val="both"/>
      </w:pPr>
      <w:r>
        <w:rPr>
          <w:rFonts w:ascii="Calibri" w:hAnsi="Calibri"/>
          <w:sz w:val="24"/>
        </w:rPr>
        <w:t>[14] J. Lemon, "Resisting SYN Flood DoS Attacks with a SYN Cache," in Proceedings of the USENIX BSD Conference, USENIX, 2002.</w:t>
      </w:r>
    </w:p>
    <w:p>
      <w:pPr>
        <w:spacing w:before="0" w:after="100" w:line="360" w:lineRule="auto"/>
        <w:ind w:left="504" w:hanging="504"/>
        <w:jc w:val="both"/>
      </w:pPr>
      <w:r>
        <w:rPr>
          <w:rFonts w:ascii="Calibri" w:hAnsi="Calibri"/>
          <w:sz w:val="24"/>
        </w:rPr>
        <w:t>[15] M. Nawrocki et al., "A Survey on Honeypot Software and Data Analysis," arXiv preprint, arXiv:1608.06249, 2016.</w:t>
      </w:r>
    </w:p>
    <w:p>
      <w:pPr>
        <w:spacing w:before="0" w:after="100" w:line="360" w:lineRule="auto"/>
        <w:ind w:left="504" w:hanging="504"/>
        <w:jc w:val="both"/>
      </w:pPr>
      <w:r>
        <w:rPr>
          <w:rFonts w:ascii="Calibri" w:hAnsi="Calibri"/>
          <w:sz w:val="24"/>
        </w:rPr>
        <w:t>[16] J. O. Kephart and D. M. Chess, "The Vision of Autonomic Computing," Computer, vol. 36, no. 1, pp. 41–50, Jan. 2003, doi: 10.1109/MC.2003.1160055.</w:t>
      </w:r>
    </w:p>
    <w:p>
      <w:pPr>
        <w:spacing w:before="0" w:after="100" w:line="360" w:lineRule="auto"/>
        <w:ind w:left="504" w:hanging="504"/>
        <w:jc w:val="both"/>
      </w:pPr>
      <w:r>
        <w:rPr>
          <w:rFonts w:ascii="Calibri" w:hAnsi="Calibri"/>
          <w:sz w:val="24"/>
        </w:rPr>
        <w:t>[17] L. Bilge and T. Dumitras, "Before We Knew It: An Empirical Study of Zero-Day Attacks in the Real World," in Proceedings of the 2012 ACM Conference on Computer and Communications Security (CCS '12), ACM, 2012, pp. 833–844.</w:t>
      </w:r>
    </w:p>
    <w:p>
      <w:pPr>
        <w:spacing w:before="0" w:after="100" w:line="360" w:lineRule="auto"/>
        <w:ind w:left="504" w:hanging="504"/>
        <w:jc w:val="both"/>
      </w:pPr>
      <w:r>
        <w:rPr>
          <w:rFonts w:ascii="Calibri" w:hAnsi="Calibri"/>
          <w:sz w:val="24"/>
        </w:rPr>
        <w:t>[18] D. Brumley, "The DARPA Cyber Grand Challenge," IEEE Security &amp; Privacy, vol. 14, no. 4, pp. 85–87, Jul./Aug. 2016.</w:t>
      </w:r>
    </w:p>
    <w:p>
      <w:pPr>
        <w:spacing w:before="0" w:after="100" w:line="360" w:lineRule="auto"/>
        <w:ind w:left="504" w:hanging="504"/>
        <w:jc w:val="both"/>
      </w:pPr>
      <w:r>
        <w:rPr>
          <w:rFonts w:ascii="Calibri" w:hAnsi="Calibri"/>
          <w:sz w:val="24"/>
        </w:rPr>
        <w:t>[19] R. Sommer and V. Paxson, "Outside the Closed World: On Using Machine Learning for Network Intrusion Detection," in Proceedings of the 2010 IEEE Symposium on Security and Privacy, IEEE, 2010, pp. 305–316.</w:t>
      </w:r>
    </w:p>
    <w:p>
      <w:pPr>
        <w:spacing w:before="0" w:after="100" w:line="360" w:lineRule="auto"/>
        <w:ind w:left="504" w:hanging="504"/>
        <w:jc w:val="both"/>
      </w:pPr>
      <w:r>
        <w:rPr>
          <w:rFonts w:ascii="Calibri" w:hAnsi="Calibri"/>
          <w:sz w:val="24"/>
        </w:rPr>
        <w:t>[20] J. Franklin, A. Perrig, V. Paxson, and S. Savage, "An Inquiry into the Nature and Causes of the Wealth of Internet Miscreants," in Proceedings of the 14th ACM Conference on Computer and Communications Security (CCS '07), ACM, 2007, pp. 375–388.</w:t>
      </w:r>
    </w:p>
    <w:p>
      <w:pPr>
        <w:spacing w:before="0" w:after="100" w:line="360" w:lineRule="auto"/>
        <w:ind w:left="504" w:hanging="504"/>
        <w:jc w:val="both"/>
      </w:pPr>
      <w:r>
        <w:rPr>
          <w:rFonts w:ascii="Calibri" w:hAnsi="Calibri"/>
          <w:sz w:val="24"/>
        </w:rPr>
        <w:t>[21] S. J. Russell and P. Norvig, Artificial Intelligence: A Modern Approach, 4th ed. Pearson, Hoboken, NJ, 2020, ch. 2 (Intelligent Agents), pp. 36–73.</w:t>
      </w:r>
    </w:p>
    <w:p>
      <w:pPr>
        <w:spacing w:before="0" w:after="100" w:line="360" w:lineRule="auto"/>
        <w:ind w:left="504" w:hanging="504"/>
        <w:jc w:val="both"/>
      </w:pPr>
      <w:r>
        <w:rPr>
          <w:rFonts w:ascii="Calibri" w:hAnsi="Calibri"/>
          <w:sz w:val="24"/>
        </w:rPr>
        <w:t>[22] S. C. Tan, K. M. Ting, and T. F. Liu, "Fast Anomaly Detection for Streaming Data," in Proceedings of the 22nd International Joint Conference on Artificial Intelligence (IJCAI-11), 2011, pp. 1511–1516.</w:t>
      </w:r>
    </w:p>
    <w:p>
      <w:pPr>
        <w:spacing w:before="0" w:after="100" w:line="360" w:lineRule="auto"/>
        <w:ind w:left="504" w:hanging="504"/>
        <w:jc w:val="both"/>
      </w:pPr>
      <w:r>
        <w:rPr>
          <w:rFonts w:ascii="Calibri" w:hAnsi="Calibri"/>
          <w:sz w:val="24"/>
        </w:rPr>
        <w:t>[23] TP-Link, "TL-WN722N V1 — 150 Mbps High Gain Wireless USB Adapter Datasheet," TP-Link Technologies Co., Ltd., 2015. [Online]. Available: https://www.tp-link.com</w:t>
      </w:r>
    </w:p>
    <w:p>
      <w:pPr>
        <w:spacing w:before="0" w:after="100" w:line="360" w:lineRule="auto"/>
        <w:ind w:left="504" w:hanging="504"/>
        <w:jc w:val="both"/>
      </w:pPr>
      <w:r>
        <w:rPr>
          <w:rFonts w:ascii="Calibri" w:hAnsi="Calibri"/>
          <w:sz w:val="24"/>
        </w:rPr>
        <w:t>[24] Netfilter Project, "nftables: The Successor to iptables," 2023. [Online]. Available: https://netfilter.org/projects/nftables/</w:t>
      </w:r>
    </w:p>
    <w:p>
      <w:pPr>
        <w:spacing w:before="0" w:after="100" w:line="360" w:lineRule="auto"/>
        <w:ind w:left="504" w:hanging="504"/>
        <w:jc w:val="both"/>
      </w:pPr>
      <w:r>
        <w:rPr>
          <w:rFonts w:ascii="Calibri" w:hAnsi="Calibri"/>
          <w:sz w:val="24"/>
        </w:rPr>
        <w:t>[25] S. Bhatt, P. K. Manadhata, and L. Zomlot, "The Operational Role of Security Information and Event Management Systems," IEEE Security &amp; Privacy, vol. 12, no. 5, pp. 35–41, 2014.</w:t>
      </w:r>
    </w:p>
    <w:p>
      <w:pPr>
        <w:spacing w:before="0" w:after="100" w:line="360" w:lineRule="auto"/>
        <w:ind w:left="504" w:hanging="504"/>
        <w:jc w:val="both"/>
      </w:pPr>
      <w:r>
        <w:rPr>
          <w:rFonts w:ascii="Calibri" w:hAnsi="Calibri"/>
          <w:sz w:val="24"/>
        </w:rPr>
        <w:t>[26] Redis Ltd., "Redis Documentation — Pub/Sub Messaging," 2024. [Online]. Available: https://redis.io/docs/interact/pubsub/</w:t>
      </w:r>
    </w:p>
    <w:p>
      <w:pPr>
        <w:spacing w:before="0" w:after="100" w:line="360" w:lineRule="auto"/>
        <w:ind w:left="504" w:hanging="504"/>
        <w:jc w:val="both"/>
      </w:pPr>
      <w:r>
        <w:rPr>
          <w:rFonts w:ascii="Calibri" w:hAnsi="Calibri"/>
          <w:sz w:val="24"/>
        </w:rPr>
        <w:t>[27] FastAPI, "FastAPI Documentation," Sebastian Ramirez, 2024. [Online]. Available: https://fastapi.tiangolo.com</w:t>
      </w:r>
    </w:p>
    <w:p>
      <w:pPr>
        <w:spacing w:before="0" w:after="100" w:line="360" w:lineRule="auto"/>
        <w:ind w:left="504" w:hanging="504"/>
        <w:jc w:val="both"/>
      </w:pPr>
      <w:r>
        <w:rPr>
          <w:rFonts w:ascii="Calibri" w:hAnsi="Calibri"/>
          <w:sz w:val="24"/>
        </w:rPr>
        <w:t>[28] Flutter Team, "Flutter Documentation," Google LLC, 2024. [Online]. Available: https://docs.flutter.dev</w:t>
      </w:r>
    </w:p>
    <w:p>
      <w:pPr>
        <w:spacing w:before="0" w:after="100" w:line="360" w:lineRule="auto"/>
        <w:ind w:left="504" w:hanging="504"/>
        <w:jc w:val="both"/>
      </w:pPr>
      <w:r>
        <w:rPr>
          <w:rFonts w:ascii="Calibri" w:hAnsi="Calibri"/>
          <w:sz w:val="24"/>
        </w:rPr>
        <w:t>[29] F. Pedregosa et al., "Scikit-learn: Machine Learning in Python," Journal of Machine Learning Research, vol. 12, pp. 2825–2830, 2011.</w:t>
      </w:r>
    </w:p>
    <w:p>
      <w:pPr>
        <w:spacing w:before="0" w:after="100" w:line="360" w:lineRule="auto"/>
        <w:ind w:left="504" w:hanging="504"/>
        <w:jc w:val="both"/>
      </w:pPr>
      <w:r>
        <w:rPr>
          <w:rFonts w:ascii="Calibri" w:hAnsi="Calibri"/>
          <w:sz w:val="24"/>
        </w:rPr>
        <w:t>[30] Ponemon Institute, 2023 Cost of a Data Breach Report, IBM Security, 2023. [Online]. Available: https://www.ibm.com/security/data-breach</w:t>
      </w:r>
    </w:p>
    <w:p>
      <w:pPr>
        <w:spacing w:before="0" w:after="100" w:line="360" w:lineRule="auto"/>
        <w:ind w:left="504" w:hanging="504"/>
        <w:jc w:val="both"/>
      </w:pPr>
      <w:r>
        <w:rPr>
          <w:rFonts w:ascii="Calibri" w:hAnsi="Calibri"/>
          <w:sz w:val="24"/>
        </w:rPr>
        <w:t>[31] MITRE Corporation, "ATT&amp;CK: MITRE ATT&amp;CK Framework," 2024. [Online]. Available: https://attack.mitre.org</w:t>
      </w:r>
    </w:p>
    <w:p>
      <w:pPr>
        <w:spacing w:before="0" w:after="100" w:line="360" w:lineRule="auto"/>
        <w:ind w:left="504" w:hanging="504"/>
        <w:jc w:val="both"/>
      </w:pPr>
      <w:r>
        <w:rPr>
          <w:rFonts w:ascii="Calibri" w:hAnsi="Calibri"/>
          <w:sz w:val="24"/>
        </w:rPr>
        <w:t>[32] Docker Inc., "Docker Documentation — Compose Overview," 2024. [Online]. Available: https://docs.docker.com/compose/</w:t>
      </w:r>
    </w:p>
    <w:p>
      <w:pPr>
        <w:spacing w:before="0" w:after="100" w:line="360" w:lineRule="auto"/>
        <w:ind w:left="504" w:hanging="504"/>
        <w:jc w:val="both"/>
      </w:pPr>
      <w:r>
        <w:rPr>
          <w:rFonts w:ascii="Calibri" w:hAnsi="Calibri"/>
          <w:sz w:val="24"/>
        </w:rPr>
        <w:t>[33] P. Biondi, "Scapy: Packet Crafting for Python2 and Python3," 2024. [Online]. Available: https://scapy.net</w:t>
      </w:r>
    </w:p>
    <w:p>
      <w:pPr>
        <w:spacing w:before="0" w:after="100" w:line="360" w:lineRule="auto"/>
        <w:ind w:left="504" w:hanging="504"/>
        <w:jc w:val="both"/>
      </w:pPr>
      <w:r>
        <w:rPr>
          <w:rFonts w:ascii="Calibri" w:hAnsi="Calibri"/>
          <w:sz w:val="24"/>
        </w:rPr>
        <w:t>[34] IEEE Standards Association, "IEEE Std 802.11w-2009 — Amendment: Protected Management Frames," IEEE, 2009.</w:t>
      </w:r>
    </w:p>
    <w:p>
      <w:pPr>
        <w:spacing w:before="0" w:after="100" w:line="360" w:lineRule="auto"/>
        <w:ind w:left="504" w:hanging="504"/>
        <w:jc w:val="both"/>
      </w:pPr>
      <w:r>
        <w:rPr>
          <w:rFonts w:ascii="Calibri" w:hAnsi="Calibri"/>
          <w:sz w:val="24"/>
        </w:rPr>
        <w:t>[35] T. Bhattasali, R. Chaki, and N. Chaki, "An Improved Lightweight Intrusion Detection System Based on Isolating Anomaly Using Machine Learning," International Journal of Computer Applications, vol. 180, no. 17, pp. 1–8, 2018.</w:t>
      </w:r>
    </w:p>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