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Migration Validator</w:t>
      </w:r>
    </w:p>
    <w:p>
      <w:pPr>
        <w:spacing w:after="60"/>
      </w:pPr>
      <w:r>
        <w:rPr>
          <w:b/>
          <w:bCs/>
          <w:color w:val="4F46E5"/>
          <w:sz w:val="30"/>
          <w:szCs w:val="30"/>
        </w:rPr>
        <w:t xml:space="preserve">AI Agents &amp; Skills — What's Configured and Why</w:t>
      </w:r>
    </w:p>
    <w:p>
      <w:pPr>
        <w:spacing w:after="120"/>
      </w:pPr>
      <w:r>
        <w:rPr>
          <w:i/>
          <w:iCs/>
          <w:color w:val="666666"/>
          <w:sz w:val="20"/>
          <w:szCs w:val="20"/>
        </w:rPr>
        <w:t xml:space="preserve">Prepared for engineering leadership review — September 2026</w:t>
      </w:r>
    </w:p>
    <w:p>
      <w:pPr>
        <w:pBdr>
          <w:bottom w:val="single" w:color="CCCCCC" w:sz="6"/>
        </w:pBdr>
        <w:spacing w:after="200"/>
      </w:pPr>
    </w:p>
    <w:p>
      <w:pPr>
        <w:pStyle w:val="Heading1"/>
        <w:spacing w:after="120" w:before="240"/>
      </w:pPr>
      <w:r>
        <w:t xml:space="preserve">1. Purpose of This Document</w:t>
      </w:r>
    </w:p>
    <w:p>
      <w:pPr>
        <w:spacing w:after="120"/>
      </w:pPr>
      <w:r>
        <w:t xml:space="preserve">This repository migrates operational data (PostgreSQL, Athena, MSSQL/SiteLink, and Redshift/"TradeShift") into Snowflake using Fivetran. This tool's job is not to perform that migration — it's to independently validate that the migration completed correctly, across six data-quality dimensions: completeness, uniqueness, accuracy, timeliness, validity, and consistency.</w:t>
      </w:r>
    </w:p>
    <w:p>
      <w:pPr>
        <w:spacing w:after="120"/>
      </w:pPr>
      <w:r>
        <w:t xml:space="preserve">To build and maintain this validator, we use Claude Code with a set of purpose-built AI agents and reusable skills, rather than one general-purpose assistant improvising every time. This document explains what each one does, what tools it's allowed to touch, and how they work together. It is a summary for review, not a technical spec — the authoritative source is the CLAUDE.md file at the repo root (see Section 4).</w:t>
      </w:r>
    </w:p>
    <w:p>
      <w:pPr>
        <w:pStyle w:val="Heading1"/>
        <w:spacing w:after="120" w:before="240"/>
      </w:pPr>
      <w:r>
        <w:t xml:space="preserve">2. AI Agents</w:t>
      </w:r>
    </w:p>
    <w:p>
      <w:pPr>
        <w:spacing w:after="120"/>
      </w:pPr>
      <w:r>
        <w:t xml:space="preserve">Agents are specialist "personas" with a narrow, named job and a restricted toolset. Restricting tools isn't a formality — e.g. the frontend agent physically cannot edit backend validation code, and the review agent cannot edit anything at all, only read and report. That separation is what keeps one change from silently breaking an unrelated part of the app.</w:t>
      </w:r>
    </w:p>
    <w:p>
      <w:pPr>
        <w:spacing w:after="40" w:before="160"/>
      </w:pPr>
      <w:r>
        <w:rPr>
          <w:b/>
          <w:bCs/>
          <w:color w:val="1F2937"/>
          <w:sz w:val="24"/>
          <w:szCs w:val="24"/>
        </w:rPr>
        <w:t xml:space="preserve">migration-validator-orchestrator</w:t>
      </w:r>
    </w:p>
    <w:p>
      <w:pPr>
        <w:spacing w:after="120"/>
      </w:pPr>
      <w:r>
        <w:rPr>
          <w:i/>
          <w:iCs/>
          <w:color w:val="555555"/>
          <w:sz w:val="20"/>
          <w:szCs w:val="20"/>
        </w:rPr>
        <w:t xml:space="preserve">Role: Coordinator  —  Tools it can use: Task, Read, Grep, Glob, TodoWrite</w:t>
      </w:r>
    </w:p>
    <w:p>
      <w:pPr>
        <w:spacing w:after="120"/>
      </w:pPr>
      <w:r>
        <w:t xml:space="preserve">Splits a multi-part request (e.g. "add a filter and a UI control for it") across the specialist agents below, in the right order, and hands the user one consolidated result. Writes no code itself.</w:t>
      </w:r>
    </w:p>
    <w:p>
      <w:pPr>
        <w:spacing w:after="40" w:before="160"/>
      </w:pPr>
      <w:r>
        <w:rPr>
          <w:b/>
          <w:bCs/>
          <w:color w:val="1F2937"/>
          <w:sz w:val="24"/>
          <w:szCs w:val="24"/>
        </w:rPr>
        <w:t xml:space="preserve">validation-query-yaml-generator</w:t>
      </w:r>
    </w:p>
    <w:p>
      <w:pPr>
        <w:spacing w:after="120"/>
      </w:pPr>
      <w:r>
        <w:rPr>
          <w:i/>
          <w:iCs/>
          <w:color w:val="555555"/>
          <w:sz w:val="20"/>
          <w:szCs w:val="20"/>
        </w:rPr>
        <w:t xml:space="preserve">Role: Backend specialist  —  Tools it can use: Read, Edit, Grep, Glob, Bash</w:t>
      </w:r>
    </w:p>
    <w:p>
      <w:pPr>
        <w:spacing w:after="120"/>
      </w:pPr>
      <w:r>
        <w:t xml:space="preserve">Owns how a test lead's plain-English condition (filter, join, transformation check, batch scope) becomes generated SQL and YAML config. Works through the single CanonicalValidationPlan pipeline — never a one-off code path per case.</w:t>
      </w:r>
    </w:p>
    <w:p>
      <w:pPr>
        <w:spacing w:after="40" w:before="160"/>
      </w:pPr>
      <w:r>
        <w:rPr>
          <w:b/>
          <w:bCs/>
          <w:color w:val="1F2937"/>
          <w:sz w:val="24"/>
          <w:szCs w:val="24"/>
        </w:rPr>
        <w:t xml:space="preserve">streamlit-frontend-manager</w:t>
      </w:r>
    </w:p>
    <w:p>
      <w:pPr>
        <w:spacing w:after="120"/>
      </w:pPr>
      <w:r>
        <w:rPr>
          <w:i/>
          <w:iCs/>
          <w:color w:val="555555"/>
          <w:sz w:val="20"/>
          <w:szCs w:val="20"/>
        </w:rPr>
        <w:t xml:space="preserve">Role: Frontend specialist  —  Tools it can use: Read, Edit, Grep, Glob, Bash</w:t>
      </w:r>
    </w:p>
    <w:p>
      <w:pPr>
        <w:spacing w:after="120"/>
      </w:pPr>
      <w:r>
        <w:t xml:space="preserve">Owns the Streamlit UI (webapp/app.py) only — tabs, widgets, forms, styling. Calls into backend functions the validation-query-yaml-generator agent exposes; never implements validation logic itself.</w:t>
      </w:r>
    </w:p>
    <w:p>
      <w:pPr>
        <w:spacing w:after="40" w:before="160"/>
      </w:pPr>
      <w:r>
        <w:rPr>
          <w:b/>
          <w:bCs/>
          <w:color w:val="1F2937"/>
          <w:sz w:val="24"/>
          <w:szCs w:val="24"/>
        </w:rPr>
        <w:t xml:space="preserve">migration-validator-dqe-review</w:t>
      </w:r>
    </w:p>
    <w:p>
      <w:pPr>
        <w:spacing w:after="120"/>
      </w:pPr>
      <w:r>
        <w:rPr>
          <w:i/>
          <w:iCs/>
          <w:color w:val="555555"/>
          <w:sz w:val="20"/>
          <w:szCs w:val="20"/>
        </w:rPr>
        <w:t xml:space="preserve">Role: Quality gate / reviewer  —  Tools it can use: Read, Grep, Glob, Bash</w:t>
      </w:r>
    </w:p>
    <w:p>
      <w:pPr>
        <w:spacing w:after="120"/>
      </w:pPr>
      <w:r>
        <w:t xml:space="preserve">Data Quality Engineering and AI-native review of the app, a workflow, or a specific change: over-engineering, logical errors, prompt quality, UI readability, and migration data-quality risk. Reviews only — does not implement.</w:t>
      </w:r>
    </w:p>
    <w:p>
      <w:pPr>
        <w:pStyle w:val="Heading2"/>
        <w:spacing w:after="120" w:before="240"/>
      </w:pPr>
      <w:r>
        <w:t xml:space="preserve">How the agents work together</w:t>
      </w:r>
    </w:p>
    <w:p>
      <w:pPr>
        <w:spacing w:after="120"/>
      </w:pPr>
      <w:r>
        <w:t xml:space="preserve">A typical end-to-end request (e.g. "add a new filter condition and a UI dropdown for it") is decomposed by the orchestrator, which calls the backend agent first to build the SQL/YAML generation logic, then the frontend agent to expose it in the UI, and can call the review agent as a quality gate before the change is considered done. Each agent hands the next one an exact contract (what function/field to call) rather than re-deriving context — this is what "recursive" delegation means in practice here: one request fans out into several scoped sub-tasks that each stay inside their own domain.</w:t>
      </w:r>
    </w:p>
    <w:p>
      <w:pPr>
        <w:pStyle w:val="Heading1"/>
        <w:spacing w:after="120" w:before="240"/>
      </w:pPr>
      <w:r>
        <w:t xml:space="preserve">3. Skills</w:t>
      </w:r>
    </w:p>
    <w:p>
      <w:pPr>
        <w:spacing w:after="120"/>
      </w:pPr>
      <w:r>
        <w:t xml:space="preserve">Skills are reference playbooks — they don't have their own restricted toolset like agents; instead they load detailed, current knowledge about one area of the codebase into whichever agent is working, so that agent doesn't have to re-discover (or guess wrong about) how that area already works. Twelve skills currently cover this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4F46E5" w:val="clear"/>
          </w:tcPr>
          <w:p>
            <w:r>
              <w:rPr>
                <w:b/>
                <w:bCs/>
                <w:color w:val="FFFFFF"/>
                <w:sz w:val="20"/>
                <w:szCs w:val="20"/>
              </w:rPr>
              <w:t xml:space="preserve">Skill</w:t>
            </w:r>
          </w:p>
        </w:tc>
        <w:tc>
          <w:tcPr>
            <w:tcW w:type="dxa" w:w="6900"/>
            <w:shd w:fill="4F46E5" w:val="clear"/>
          </w:tcPr>
          <w:p>
            <w:r>
              <w:rPr>
                <w:b/>
                <w:bCs/>
                <w:color w:val="FFFFFF"/>
                <w:sz w:val="20"/>
                <w:szCs w:val="20"/>
              </w:rPr>
              <w:t xml:space="preserve">What it covers</w:t>
            </w:r>
          </w:p>
        </w:tc>
      </w:tr>
      <w:tr>
        <w:tc>
          <w:tcPr>
            <w:tcW w:type="dxa" w:w="2600"/>
          </w:tcPr>
          <w:p>
            <w:r>
              <w:rPr>
                <w:b w:val="false"/>
                <w:bCs w:val="false"/>
                <w:sz w:val="20"/>
                <w:szCs w:val="20"/>
              </w:rPr>
              <w:t xml:space="preserve">base-rules-datatypes</w:t>
            </w:r>
          </w:p>
        </w:tc>
        <w:tc>
          <w:tcPr>
            <w:tcW w:type="dxa" w:w="6900"/>
          </w:tcPr>
          <w:p>
            <w:r>
              <w:rPr>
                <w:b w:val="false"/>
                <w:bCs w:val="false"/>
                <w:sz w:val="20"/>
                <w:szCs w:val="20"/>
              </w:rPr>
              <w:t xml:space="preserve">The static, pre-tested catalog of 10 base source→target datatype rules (rules_catalog.json + base_rules.py) — what type pairs are already covered and how canonicalization runs in Python for JSON/HStore/Array.</w:t>
            </w:r>
          </w:p>
        </w:tc>
      </w:tr>
      <w:tr>
        <w:tc>
          <w:tcPr>
            <w:tcW w:type="dxa" w:w="2600"/>
          </w:tcPr>
          <w:p>
            <w:r>
              <w:rPr>
                <w:b w:val="false"/>
                <w:bCs w:val="false"/>
                <w:sz w:val="20"/>
                <w:szCs w:val="20"/>
              </w:rPr>
              <w:t xml:space="preserve">learned-rules</w:t>
            </w:r>
          </w:p>
        </w:tc>
        <w:tc>
          <w:tcPr>
            <w:tcW w:type="dxa" w:w="6900"/>
          </w:tcPr>
          <w:p>
            <w:r>
              <w:rPr>
                <w:b w:val="false"/>
                <w:bCs w:val="false"/>
                <w:sz w:val="20"/>
                <w:szCs w:val="20"/>
              </w:rPr>
              <w:t xml:space="preserve">The mutable, human-gated feedback loop: new gap-filler rules learned over time, and corrections humans make to AI/fuzzy column-mapping decisions. Kept separate from the static base rules above.</w:t>
            </w:r>
          </w:p>
        </w:tc>
      </w:tr>
      <w:tr>
        <w:tc>
          <w:tcPr>
            <w:tcW w:type="dxa" w:w="2600"/>
          </w:tcPr>
          <w:p>
            <w:r>
              <w:rPr>
                <w:b w:val="false"/>
                <w:bCs w:val="false"/>
                <w:sz w:val="20"/>
                <w:szCs w:val="20"/>
              </w:rPr>
              <w:t xml:space="preserve">normalization-and-exclusions</w:t>
            </w:r>
          </w:p>
        </w:tc>
        <w:tc>
          <w:tcPr>
            <w:tcW w:type="dxa" w:w="6900"/>
          </w:tcPr>
          <w:p>
            <w:r>
              <w:rPr>
                <w:b w:val="false"/>
                <w:bCs w:val="false"/>
                <w:sz w:val="20"/>
                <w:szCs w:val="20"/>
              </w:rPr>
              <w:t xml:space="preserve">Reconciles columns whose source and target types don't match structurally (hstore vs VARIANT, JSONB, arrays, timestamps, booleans) by canonicalizing before comparing, and defines what should never be compared at all (Fivetran metadata columns, global/system/table exclusions).</w:t>
            </w:r>
          </w:p>
        </w:tc>
      </w:tr>
      <w:tr>
        <w:tc>
          <w:tcPr>
            <w:tcW w:type="dxa" w:w="2600"/>
          </w:tcPr>
          <w:p>
            <w:r>
              <w:rPr>
                <w:b w:val="false"/>
                <w:bCs w:val="false"/>
                <w:sz w:val="20"/>
                <w:szCs w:val="20"/>
              </w:rPr>
              <w:t xml:space="preserve">reference-filter-joins</w:t>
            </w:r>
          </w:p>
        </w:tc>
        <w:tc>
          <w:tcPr>
            <w:tcW w:type="dxa" w:w="6900"/>
          </w:tcPr>
          <w:p>
            <w:r>
              <w:rPr>
                <w:b w:val="false"/>
                <w:bCs w:val="false"/>
                <w:sz w:val="20"/>
                <w:szCs w:val="20"/>
              </w:rPr>
              <w:t xml:space="preserve">Turns a test lead's natural-language validation condition — filter, multi-table join, transformation check (e.g. currency conversion), batch scope — into a structured CanonicalValidationPlan that both the SQL and YAML generators read from.</w:t>
            </w:r>
          </w:p>
        </w:tc>
      </w:tr>
      <w:tr>
        <w:tc>
          <w:tcPr>
            <w:tcW w:type="dxa" w:w="2600"/>
          </w:tcPr>
          <w:p>
            <w:r>
              <w:rPr>
                <w:b w:val="false"/>
                <w:bCs w:val="false"/>
                <w:sz w:val="20"/>
                <w:szCs w:val="20"/>
              </w:rPr>
              <w:t xml:space="preserve">data-comparison-report</w:t>
            </w:r>
          </w:p>
        </w:tc>
        <w:tc>
          <w:tcPr>
            <w:tcW w:type="dxa" w:w="6900"/>
          </w:tcPr>
          <w:p>
            <w:r>
              <w:rPr>
                <w:b w:val="false"/>
                <w:bCs w:val="false"/>
                <w:sz w:val="20"/>
                <w:szCs w:val="20"/>
              </w:rPr>
              <w:t xml:space="preserve">How row-level comparison actually runs and how results become the CSV report. Project/main.py is the single live comparison engine, called by the webapp's "Run Validation" button.</w:t>
            </w:r>
          </w:p>
        </w:tc>
      </w:tr>
      <w:tr>
        <w:tc>
          <w:tcPr>
            <w:tcW w:type="dxa" w:w="2600"/>
          </w:tcPr>
          <w:p>
            <w:r>
              <w:rPr>
                <w:b w:val="false"/>
                <w:bCs w:val="false"/>
                <w:sz w:val="20"/>
                <w:szCs w:val="20"/>
              </w:rPr>
              <w:t xml:space="preserve">webapp-yaml-generation</w:t>
            </w:r>
          </w:p>
        </w:tc>
        <w:tc>
          <w:tcPr>
            <w:tcW w:type="dxa" w:w="6900"/>
          </w:tcPr>
          <w:p>
            <w:r>
              <w:rPr>
                <w:b w:val="false"/>
                <w:bCs w:val="false"/>
                <w:sz w:val="20"/>
                <w:szCs w:val="20"/>
              </w:rPr>
              <w:t xml:space="preserve">The webapp's own, independent YAML-writing code paths (the manual YAML tabs and the Excel-upload flow) — kept separate from the backend's generator on purpose.</w:t>
            </w:r>
          </w:p>
        </w:tc>
      </w:tr>
      <w:tr>
        <w:tc>
          <w:tcPr>
            <w:tcW w:type="dxa" w:w="2600"/>
          </w:tcPr>
          <w:p>
            <w:r>
              <w:rPr>
                <w:b w:val="false"/>
                <w:bCs w:val="false"/>
                <w:sz w:val="20"/>
                <w:szCs w:val="20"/>
              </w:rPr>
              <w:t xml:space="preserve">excel-batch-ai-review-planned</w:t>
            </w:r>
          </w:p>
        </w:tc>
        <w:tc>
          <w:tcPr>
            <w:tcW w:type="dxa" w:w="6900"/>
          </w:tcPr>
          <w:p>
            <w:r>
              <w:rPr>
                <w:b w:val="false"/>
                <w:bCs w:val="false"/>
                <w:sz w:val="20"/>
                <w:szCs w:val="20"/>
              </w:rPr>
              <w:t xml:space="preserve">AI-assisted preview for the Excel batch-upload flow: classifies spreadsheet headers and explains the derived filter logic in plain English before a batch YAML is generated.</w:t>
            </w:r>
          </w:p>
        </w:tc>
      </w:tr>
      <w:tr>
        <w:tc>
          <w:tcPr>
            <w:tcW w:type="dxa" w:w="2600"/>
          </w:tcPr>
          <w:p>
            <w:r>
              <w:rPr>
                <w:b w:val="false"/>
                <w:bCs w:val="false"/>
                <w:sz w:val="20"/>
                <w:szCs w:val="20"/>
              </w:rPr>
              <w:t xml:space="preserve">connector-postgresql</w:t>
            </w:r>
          </w:p>
        </w:tc>
        <w:tc>
          <w:tcPr>
            <w:tcW w:type="dxa" w:w="6900"/>
          </w:tcPr>
          <w:p>
            <w:r>
              <w:rPr>
                <w:b w:val="false"/>
                <w:bCs w:val="false"/>
                <w:sz w:val="20"/>
                <w:szCs w:val="20"/>
              </w:rPr>
              <w:t xml:space="preserve">Connection, query execution, and schema extraction for PostgreSQL sources (also the base class Redshift reuses).</w:t>
            </w:r>
          </w:p>
        </w:tc>
      </w:tr>
      <w:tr>
        <w:tc>
          <w:tcPr>
            <w:tcW w:type="dxa" w:w="2600"/>
          </w:tcPr>
          <w:p>
            <w:r>
              <w:rPr>
                <w:b w:val="false"/>
                <w:bCs w:val="false"/>
                <w:sz w:val="20"/>
                <w:szCs w:val="20"/>
              </w:rPr>
              <w:t xml:space="preserve">connector-mssql-sitelink</w:t>
            </w:r>
          </w:p>
        </w:tc>
        <w:tc>
          <w:tcPr>
            <w:tcW w:type="dxa" w:w="6900"/>
          </w:tcPr>
          <w:p>
            <w:r>
              <w:rPr>
                <w:b w:val="false"/>
                <w:bCs w:val="false"/>
                <w:sz w:val="20"/>
                <w:szCs w:val="20"/>
              </w:rPr>
              <w:t xml:space="preserve">Connection, query execution, and schema extraction for the MSSQL-based SiteLink source (Storable's self-storage product).</w:t>
            </w:r>
          </w:p>
        </w:tc>
      </w:tr>
      <w:tr>
        <w:tc>
          <w:tcPr>
            <w:tcW w:type="dxa" w:w="2600"/>
          </w:tcPr>
          <w:p>
            <w:r>
              <w:rPr>
                <w:b w:val="false"/>
                <w:bCs w:val="false"/>
                <w:sz w:val="20"/>
                <w:szCs w:val="20"/>
              </w:rPr>
              <w:t xml:space="preserve">connector-athena</w:t>
            </w:r>
          </w:p>
        </w:tc>
        <w:tc>
          <w:tcPr>
            <w:tcW w:type="dxa" w:w="6900"/>
          </w:tcPr>
          <w:p>
            <w:r>
              <w:rPr>
                <w:b w:val="false"/>
                <w:bCs w:val="false"/>
                <w:sz w:val="20"/>
                <w:szCs w:val="20"/>
              </w:rPr>
              <w:t xml:space="preserve">Connection and schema extraction for Athena — no primary-key concept, no host/port, uses an S3 result location instead.</w:t>
            </w:r>
          </w:p>
        </w:tc>
      </w:tr>
      <w:tr>
        <w:tc>
          <w:tcPr>
            <w:tcW w:type="dxa" w:w="2600"/>
          </w:tcPr>
          <w:p>
            <w:r>
              <w:rPr>
                <w:b w:val="false"/>
                <w:bCs w:val="false"/>
                <w:sz w:val="20"/>
                <w:szCs w:val="20"/>
              </w:rPr>
              <w:t xml:space="preserve">connector-redshift-tradeshift</w:t>
            </w:r>
          </w:p>
        </w:tc>
        <w:tc>
          <w:tcPr>
            <w:tcW w:type="dxa" w:w="6900"/>
          </w:tcPr>
          <w:p>
            <w:r>
              <w:rPr>
                <w:b w:val="false"/>
                <w:bCs w:val="false"/>
                <w:sz w:val="20"/>
                <w:szCs w:val="20"/>
              </w:rPr>
              <w:t xml:space="preserve">Redshift ("TradeShift" internally) — documents that it has no dedicated connector file and simply reuses the PostgreSQL connector, since Redshift speaks the same wire protocol.</w:t>
            </w:r>
          </w:p>
        </w:tc>
      </w:tr>
      <w:tr>
        <w:tc>
          <w:tcPr>
            <w:tcW w:type="dxa" w:w="2600"/>
          </w:tcPr>
          <w:p>
            <w:r>
              <w:rPr>
                <w:b w:val="false"/>
                <w:bCs w:val="false"/>
                <w:sz w:val="20"/>
                <w:szCs w:val="20"/>
              </w:rPr>
              <w:t xml:space="preserve">connector-snowflake-target</w:t>
            </w:r>
          </w:p>
        </w:tc>
        <w:tc>
          <w:tcPr>
            <w:tcW w:type="dxa" w:w="6900"/>
          </w:tcPr>
          <w:p>
            <w:r>
              <w:rPr>
                <w:b w:val="false"/>
                <w:bCs w:val="false"/>
                <w:sz w:val="20"/>
                <w:szCs w:val="20"/>
              </w:rPr>
              <w:t xml:space="preserve">The single validation target for all four sources: connection, schema extraction, Fivetran-metadata handling, and VARIANT-type comparison rules.</w:t>
            </w:r>
          </w:p>
        </w:tc>
      </w:tr>
    </w:tbl>
    <w:p>
      <w:pPr>
        <w:spacing w:after="160"/>
      </w:pPr>
    </w:p>
    <w:p>
      <w:pPr>
        <w:spacing w:after="120"/>
      </w:pPr>
      <w:r>
        <w:t xml:space="preserve">Two intentional overlaps are called out explicitly in these skills rather than being treated as duplication to clean up: base-rules-datatypes vs. learned-rules (static catalog vs. mutable human-corrected rules), and webapp-yaml-generation vs. the backend generator (the UI writes its own YAML independently of the generator the backend pipeline uses). Skills document why each pair is deliberately separate so a future change doesn't try to "fix" it.</w:t>
      </w:r>
    </w:p>
    <w:p>
      <w:pPr>
        <w:pStyle w:val="Heading1"/>
        <w:spacing w:after="120" w:before="240"/>
      </w:pPr>
      <w:r>
        <w:t xml:space="preserve">4. The CLAUDE.md File</w:t>
      </w:r>
    </w:p>
    <w:p>
      <w:pPr>
        <w:spacing w:after="120"/>
      </w:pPr>
      <w:r>
        <w:t xml:space="preserve">CLAUDE.md, at the repository root, is the single source of truth every agent and skill is required to read before touching the code. It exists so that no two agents (or two working sessions) re-derive — or contradict — the same facts about the business problem. It defines:</w:t>
      </w:r>
    </w:p>
    <w:p>
      <w:pPr>
        <w:pStyle w:val="ListParagraph"/>
        <w:numPr>
          <w:ilvl w:val="0"/>
          <w:numId w:val="2"/>
        </w:numPr>
        <w:spacing w:after="60"/>
      </w:pPr>
      <w:r>
        <w:t xml:space="preserve">The four source systems (PostgreSQL, Athena, MSSQL/SiteLink, Redshift/"TradeShift") and the single Snowflake target, plus how Fivetran metadata columns must be handled and filtered.</w:t>
      </w:r>
    </w:p>
    <w:p>
      <w:pPr>
        <w:pStyle w:val="ListParagraph"/>
        <w:numPr>
          <w:ilvl w:val="0"/>
          <w:numId w:val="2"/>
        </w:numPr>
        <w:spacing w:after="60"/>
      </w:pPr>
      <w:r>
        <w:t xml:space="preserve">The six data-quality dimensions every validation run is judged against (below).</w:t>
      </w:r>
    </w:p>
    <w:p>
      <w:pPr>
        <w:pStyle w:val="ListParagraph"/>
        <w:numPr>
          <w:ilvl w:val="0"/>
          <w:numId w:val="2"/>
        </w:numPr>
        <w:spacing w:after="60"/>
      </w:pPr>
      <w:r>
        <w:t xml:space="preserve">Where the real, currently-live code lives — e.g. that Project/main.py is the only live comparison engine, and that an older chatbot-based engine was already removed and archived to trash/.</w:t>
      </w:r>
    </w:p>
    <w:p>
      <w:pPr>
        <w:pStyle w:val="ListParagraph"/>
        <w:numPr>
          <w:ilvl w:val="0"/>
          <w:numId w:val="2"/>
        </w:numPr>
        <w:spacing w:after="60"/>
      </w:pPr>
      <w:r>
        <w:t xml:space="preserve">Four “ground rules” for any agent working in the repo: no redundant implementations, no speculative abstractions, verify before claiming something is unused, and ask the user to disambiguate rather than guessing when a request could mean one of two look-alike code paths.</w:t>
      </w:r>
    </w:p>
    <w:p>
      <w:pPr>
        <w:spacing w:after="120"/>
      </w:pPr>
      <w:r>
        <w:t xml:space="preserve">In short: CLAUDE.md is what lets every agent and skill above stay factually consistent with each other and with the real state of the code, instead of each one forming its own (possibly stale) picture of the system.</w:t>
      </w:r>
    </w:p>
    <w:p>
      <w:pPr>
        <w:pStyle w:val="Heading1"/>
        <w:spacing w:after="120" w:before="240"/>
      </w:pPr>
      <w:r>
        <w:t xml:space="preserve">5. Data-Quality Dimensions Validated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shd w:fill="4F46E5" w:val="clear"/>
          </w:tcPr>
          <w:p>
            <w:r>
              <w:rPr>
                <w:b/>
                <w:bCs/>
                <w:color w:val="FFFFFF"/>
                <w:sz w:val="20"/>
                <w:szCs w:val="20"/>
              </w:rPr>
              <w:t xml:space="preserve">Dimension</w:t>
            </w:r>
          </w:p>
        </w:tc>
        <w:tc>
          <w:tcPr>
            <w:tcW w:type="dxa" w:w="7500"/>
            <w:shd w:fill="4F46E5" w:val="clear"/>
          </w:tcPr>
          <w:p>
            <w:r>
              <w:rPr>
                <w:b/>
                <w:bCs/>
                <w:color w:val="FFFFFF"/>
                <w:sz w:val="20"/>
                <w:szCs w:val="20"/>
              </w:rPr>
              <w:t xml:space="preserve">What it checks</w:t>
            </w:r>
          </w:p>
        </w:tc>
      </w:tr>
      <w:tr>
        <w:tc>
          <w:tcPr>
            <w:tcW w:type="dxa" w:w="2000"/>
          </w:tcPr>
          <w:p>
            <w:r>
              <w:rPr>
                <w:b w:val="false"/>
                <w:bCs w:val="false"/>
                <w:sz w:val="20"/>
                <w:szCs w:val="20"/>
              </w:rPr>
              <w:t xml:space="preserve">Completeness</w:t>
            </w:r>
          </w:p>
        </w:tc>
        <w:tc>
          <w:tcPr>
            <w:tcW w:type="dxa" w:w="7500"/>
          </w:tcPr>
          <w:p>
            <w:r>
              <w:rPr>
                <w:b w:val="false"/>
                <w:bCs w:val="false"/>
                <w:sz w:val="20"/>
                <w:szCs w:val="20"/>
              </w:rPr>
              <w:t xml:space="preserve">Every source row that should have migrated is present in Snowflake — row counts + primary-key set differences (SOURCE_ONLY / TARGET_ONLY).</w:t>
            </w:r>
          </w:p>
        </w:tc>
      </w:tr>
      <w:tr>
        <w:tc>
          <w:tcPr>
            <w:tcW w:type="dxa" w:w="2000"/>
          </w:tcPr>
          <w:p>
            <w:r>
              <w:rPr>
                <w:b w:val="false"/>
                <w:bCs w:val="false"/>
                <w:sz w:val="20"/>
                <w:szCs w:val="20"/>
              </w:rPr>
              <w:t xml:space="preserve">Uniqueness</w:t>
            </w:r>
          </w:p>
        </w:tc>
        <w:tc>
          <w:tcPr>
            <w:tcW w:type="dxa" w:w="7500"/>
          </w:tcPr>
          <w:p>
            <w:r>
              <w:rPr>
                <w:b w:val="false"/>
                <w:bCs w:val="false"/>
                <w:sz w:val="20"/>
                <w:szCs w:val="20"/>
              </w:rPr>
              <w:t xml:space="preserve">No duplicate rows/keys introduced by the migration (e.g. Fivetran CDC replay, merge bugs).</w:t>
            </w:r>
          </w:p>
        </w:tc>
      </w:tr>
      <w:tr>
        <w:tc>
          <w:tcPr>
            <w:tcW w:type="dxa" w:w="2000"/>
          </w:tcPr>
          <w:p>
            <w:r>
              <w:rPr>
                <w:b w:val="false"/>
                <w:bCs w:val="false"/>
                <w:sz w:val="20"/>
                <w:szCs w:val="20"/>
              </w:rPr>
              <w:t xml:space="preserve">Accuracy</w:t>
            </w:r>
          </w:p>
        </w:tc>
        <w:tc>
          <w:tcPr>
            <w:tcW w:type="dxa" w:w="7500"/>
          </w:tcPr>
          <w:p>
            <w:r>
              <w:rPr>
                <w:b w:val="false"/>
                <w:bCs w:val="false"/>
                <w:sz w:val="20"/>
                <w:szCs w:val="20"/>
              </w:rPr>
              <w:t xml:space="preserve">Migrated values match source values after correct type transformation — comparing canonicalized meaning, not raw bytes.</w:t>
            </w:r>
          </w:p>
        </w:tc>
      </w:tr>
      <w:tr>
        <w:tc>
          <w:tcPr>
            <w:tcW w:type="dxa" w:w="2000"/>
          </w:tcPr>
          <w:p>
            <w:r>
              <w:rPr>
                <w:b w:val="false"/>
                <w:bCs w:val="false"/>
                <w:sz w:val="20"/>
                <w:szCs w:val="20"/>
              </w:rPr>
              <w:t xml:space="preserve">Timeliness</w:t>
            </w:r>
          </w:p>
        </w:tc>
        <w:tc>
          <w:tcPr>
            <w:tcW w:type="dxa" w:w="7500"/>
          </w:tcPr>
          <w:p>
            <w:r>
              <w:rPr>
                <w:b w:val="false"/>
                <w:bCs w:val="false"/>
                <w:sz w:val="20"/>
                <w:szCs w:val="20"/>
              </w:rPr>
              <w:t xml:space="preserve">Fivetran sync lag is within a reasonable window; in-flight syncs are not flagged as failures.</w:t>
            </w:r>
          </w:p>
        </w:tc>
      </w:tr>
      <w:tr>
        <w:tc>
          <w:tcPr>
            <w:tcW w:type="dxa" w:w="2000"/>
          </w:tcPr>
          <w:p>
            <w:r>
              <w:rPr>
                <w:b w:val="false"/>
                <w:bCs w:val="false"/>
                <w:sz w:val="20"/>
                <w:szCs w:val="20"/>
              </w:rPr>
              <w:t xml:space="preserve">Validity</w:t>
            </w:r>
          </w:p>
        </w:tc>
        <w:tc>
          <w:tcPr>
            <w:tcW w:type="dxa" w:w="7500"/>
          </w:tcPr>
          <w:p>
            <w:r>
              <w:rPr>
                <w:b w:val="false"/>
                <w:bCs w:val="false"/>
                <w:sz w:val="20"/>
                <w:szCs w:val="20"/>
              </w:rPr>
              <w:t xml:space="preserve">Migrated values conform to the expected type/format for that source→target pair, per the rule book.</w:t>
            </w:r>
          </w:p>
        </w:tc>
      </w:tr>
      <w:tr>
        <w:tc>
          <w:tcPr>
            <w:tcW w:type="dxa" w:w="2000"/>
          </w:tcPr>
          <w:p>
            <w:r>
              <w:rPr>
                <w:b w:val="false"/>
                <w:bCs w:val="false"/>
                <w:sz w:val="20"/>
                <w:szCs w:val="20"/>
              </w:rPr>
              <w:t xml:space="preserve">Consistency</w:t>
            </w:r>
          </w:p>
        </w:tc>
        <w:tc>
          <w:tcPr>
            <w:tcW w:type="dxa" w:w="7500"/>
          </w:tcPr>
          <w:p>
            <w:r>
              <w:rPr>
                <w:b w:val="false"/>
                <w:bCs w:val="false"/>
                <w:sz w:val="20"/>
                <w:szCs w:val="20"/>
              </w:rPr>
              <w:t xml:space="preserve">The same filter/exclusion logic is applied identically on both the source and Snowflake side.</w:t>
            </w:r>
          </w:p>
        </w:tc>
      </w:tr>
    </w:tbl>
    <w:p>
      <w:pPr>
        <w:pStyle w:val="Heading1"/>
        <w:spacing w:after="120" w:before="240"/>
      </w:pPr>
      <w:r>
        <w:t xml:space="preserve">6. Summary</w:t>
      </w:r>
    </w:p>
    <w:p>
      <w:pPr>
        <w:spacing w:after="120"/>
      </w:pPr>
      <w:r>
        <w:t xml:space="preserve">Four agents (one coordinator, two implementation specialists, one review-only gate) and twelve reference skills currently support this project. Agents are restricted by toolset to their own domain; skills carry the detailed, current facts about a specific area into whatever agent is working, so that agent doesn't reinvent or misremember it. CLAUDE.md is the shared foundation both are required to read first, keeping the whole system — across separate working sessions and separate agents — pointed at the same, current understanding of the codebase and the business problem it validates.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2026-09-22T10:51:21.707Z</dcterms:created>
  <dcterms:modified xsi:type="dcterms:W3CDTF">2026-09-22T10:51:21.708Z</dcterms:modified>
</cp:coreProperties>
</file>

<file path=docProps/custom.xml><?xml version="1.0" encoding="utf-8"?>
<Properties xmlns="http://schemas.openxmlformats.org/officeDocument/2006/custom-properties" xmlns:vt="http://schemas.openxmlformats.org/officeDocument/2006/docPropsVTypes"/>
</file>