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bCs/>
        </w:rPr>
        <w:t xml:space="preserve">As a</w:t>
      </w:r>
      <w:r>
        <w:t xml:space="preserve"> Risk Operations Officer,</w:t>
      </w:r>
      <w:r>
        <w:br/>
      </w:r>
      <w:r>
        <w:rPr>
          <w:b/>
          <w:bCs/>
        </w:rPr>
        <w:t xml:space="preserve">I want</w:t>
      </w:r>
      <w:r>
        <w:t xml:space="preserve"> an automated, multi-LLM orchestration system to analyze commercial loan eligibility based on the financial reports of each entity, verify compliance, and calculate risk scores,</w:t>
      </w:r>
      <w:r>
        <w:br/>
      </w:r>
      <w:r>
        <w:rPr>
          <w:b/>
          <w:bCs/>
        </w:rPr>
        <w:t xml:space="preserve">So that</w:t>
      </w:r>
      <w:r>
        <w:t xml:space="preserve"> we can reduce application processing time from days to minutes while maintaining strict regulatory compliance and fraud detection standards.</w:t>
      </w:r>
    </w:p>
    <w:p>
      <w:r>
        <w:t xml:space="preserve">This version of the business case reflects the updated Product Requirements Document (PRD_Loan_Underwriting_Orchestrator): a C# / .NET solution using Microsoft Foundry models, running on-premises by default with an option to deploy to Azure.</w:t>
      </w:r>
    </w:p>
    <w:p>
      <w:pPr>
        <w:keepNext/>
        <w:spacing w:before="200"/>
        <w:rPr>
          <w:b/>
          <w:bCs/>
        </w:rPr>
      </w:pPr>
      <w:r>
        <w:rPr>
          <w:b/>
          <w:bCs/>
        </w:rPr>
        <w:t xml:space="preserve">Acceptance Criteria</w:t>
      </w:r>
    </w:p>
    <w:p>
      <w:pPr>
        <w:keepNext/>
        <w:spacing w:before="200"/>
        <w:rPr>
          <w:b/>
          <w:bCs/>
        </w:rPr>
      </w:pPr>
      <w:r>
        <w:rPr>
          <w:b/>
          <w:bCs/>
        </w:rPr>
        <w:t xml:space="preserve">1. User Interface (React)</w:t>
      </w:r>
    </w:p>
    <w:p>
      <w:pPr>
        <w:pStyle w:val="ListParagraph"/>
        <w:numPr>
          <w:ilvl w:val="0"/>
          <w:numId w:val="2"/>
        </w:numPr>
      </w:pPr>
      <w:r>
        <w:t xml:space="preserve">The system must provide a React screen to upload the PDF of an entity with its credit data and pass it to Node 1 through the processing pipeline.</w:t>
      </w:r>
    </w:p>
    <w:p>
      <w:pPr>
        <w:pStyle w:val="ListParagraph"/>
        <w:numPr>
          <w:ilvl w:val="0"/>
          <w:numId w:val="2"/>
        </w:numPr>
      </w:pPr>
      <w:r>
        <w:t xml:space="preserve">Only digital (text-based) PDFs are accepted, up to a configurable size (default 20 MB). Scanned or image-only PDFs, and OCR, are out of scope. A PDF with no text layer is rejected with a clear message.</w:t>
      </w:r>
    </w:p>
    <w:p>
      <w:pPr>
        <w:pStyle w:val="ListParagraph"/>
        <w:numPr>
          <w:ilvl w:val="0"/>
          <w:numId w:val="2"/>
        </w:numPr>
      </w:pPr>
      <w:r>
        <w:rPr>
          <w:b/>
          <w:bCs/>
        </w:rPr>
        <w:t xml:space="preserve">Email is excluded.</w:t>
      </w:r>
      <w:r>
        <w:t xml:space="preserve"> There is no company email field and the system sends no email. The final decision is shown on screen as a decision record that Risk Ops can download and share through their own channel.</w:t>
      </w:r>
    </w:p>
    <w:p>
      <w:pPr>
        <w:pStyle w:val="ListParagraph"/>
        <w:numPr>
          <w:ilvl w:val="0"/>
          <w:numId w:val="2"/>
        </w:numPr>
      </w:pPr>
      <w:r>
        <w:t xml:space="preserve">The downloaded applicant copy never contains the internal risk score or fraud flags. An internal record with these details is available only to the Underwriter and Auditor roles.</w:t>
      </w:r>
    </w:p>
    <w:p>
      <w:pPr>
        <w:pStyle w:val="ListParagraph"/>
        <w:numPr>
          <w:ilvl w:val="0"/>
          <w:numId w:val="2"/>
        </w:numPr>
      </w:pPr>
      <w:r>
        <w:t xml:space="preserve">The interface shows live progress through each step (upload, PDF read, ingest, Nodes 1 to 3, scorecard, decision model, human review, final decision) and a summary of each step's output, model, latency and token use.</w:t>
      </w:r>
    </w:p>
    <w:p>
      <w:pPr>
        <w:pStyle w:val="ListParagraph"/>
        <w:numPr>
          <w:ilvl w:val="0"/>
          <w:numId w:val="2"/>
        </w:numPr>
      </w:pPr>
      <w:r>
        <w:t xml:space="preserve">Sign-in uses the organisation's identity provider, with the roles Risk Ops, Underwriter and Auditor.</w:t>
      </w:r>
    </w:p>
    <w:p>
      <w:pPr>
        <w:keepNext/>
        <w:spacing w:before="200"/>
        <w:rPr>
          <w:b/>
          <w:bCs/>
        </w:rPr>
      </w:pPr>
      <w:r>
        <w:rPr>
          <w:b/>
          <w:bCs/>
        </w:rPr>
        <w:t xml:space="preserve">2. Workflow Architecture &amp; State Management (replaces LangGraph)</w:t>
      </w:r>
    </w:p>
    <w:p>
      <w:pPr>
        <w:pStyle w:val="ListParagraph"/>
        <w:numPr>
          <w:ilvl w:val="0"/>
          <w:numId w:val="2"/>
        </w:numPr>
      </w:pPr>
      <w:r>
        <w:t xml:space="preserve">LangGraph is a Python library. The solution is built in C# (.NET), so the </w:t>
      </w:r>
      <w:r>
        <w:rPr>
          <w:b/>
          <w:bCs/>
        </w:rPr>
        <w:t xml:space="preserve">Microsoft Agent Framework workflow engine</w:t>
      </w:r>
      <w:r>
        <w:t xml:space="preserve"> replaces it. Steps are executors connected by conditional edges, and a shared typed state passes the loan application data, intermediate analysis, risk scores and flags between them. (Fallback: Semantic Kernel Process Framework if workflow features are not suitable.)</w:t>
      </w:r>
    </w:p>
    <w:p>
      <w:pPr>
        <w:pStyle w:val="ListParagraph"/>
        <w:numPr>
          <w:ilvl w:val="0"/>
          <w:numId w:val="2"/>
        </w:numPr>
      </w:pPr>
      <w:r>
        <w:t xml:space="preserve">State is immutable: each step returns a new copy of the state record.</w:t>
      </w:r>
    </w:p>
    <w:p>
      <w:pPr>
        <w:pStyle w:val="ListParagraph"/>
        <w:numPr>
          <w:ilvl w:val="0"/>
          <w:numId w:val="2"/>
        </w:numPr>
      </w:pPr>
      <w:r>
        <w:t xml:space="preserve">History is kept as a separate append-only audit stream recording step, model, decision-model version, timestamp, input hash, output summary, token usage, latency and actor. The audit log is exportable per case as JSON.</w:t>
      </w:r>
    </w:p>
    <w:p>
      <w:pPr>
        <w:pStyle w:val="ListParagraph"/>
        <w:numPr>
          <w:ilvl w:val="0"/>
          <w:numId w:val="2"/>
        </w:numPr>
      </w:pPr>
      <w:r>
        <w:t xml:space="preserve">The workflow is checkpointed after every step, so a restart or redeploy resumes from the last checkpoint.</w:t>
      </w:r>
    </w:p>
    <w:p>
      <w:pPr>
        <w:pStyle w:val="ListParagraph"/>
        <w:numPr>
          <w:ilvl w:val="0"/>
          <w:numId w:val="2"/>
        </w:numPr>
      </w:pPr>
      <w:r>
        <w:t xml:space="preserve">A failed step sets the case to Error and is shown to Risk Ops. A failure never leads to an automatic approval.</w:t>
      </w:r>
    </w:p>
    <w:p>
      <w:pPr>
        <w:keepNext/>
        <w:spacing w:before="200"/>
        <w:rPr>
          <w:b/>
          <w:bCs/>
        </w:rPr>
      </w:pPr>
      <w:r>
        <w:rPr>
          <w:b/>
          <w:bCs/>
        </w:rPr>
        <w:t xml:space="preserve">3. Specialized Multi-LLM Orchestration (The Nodes)</w:t>
      </w:r>
    </w:p>
    <w:p>
      <w:pPr>
        <w:pStyle w:val="ListParagraph"/>
        <w:numPr>
          <w:ilvl w:val="0"/>
          <w:numId w:val="2"/>
        </w:numPr>
      </w:pPr>
      <w:r>
        <w:t xml:space="preserve">The workflow orchestrates three distinct models, each chosen for cost, speed or reasoning. </w:t>
      </w:r>
      <w:r>
        <w:rPr>
          <w:b/>
          <w:bCs/>
        </w:rPr>
        <w:t xml:space="preserve">Only models supported by Azure and Microsoft Foundry are allowed.</w:t>
      </w:r>
      <w:r>
        <w:t xml:space="preserve"> Gemini is removed because Foundry does not offer it.</w:t>
      </w:r>
    </w:p>
    <w:p>
      <w:pPr>
        <w:pStyle w:val="ListParagraph"/>
        <w:numPr>
          <w:ilvl w:val="0"/>
          <w:numId w:val="2"/>
        </w:numPr>
      </w:pPr>
      <w:r>
        <w:t xml:space="preserve">Model names are set in a configuration file (never hard-coded) and checked at startup. The suggested defaults must be verified against the Foundry catalogue for the target region and quota.</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Pr>
      <w:tblGrid>
        <w:gridCol w:w="2700"/>
        <w:gridCol w:w="3163"/>
        <w:gridCol w:w="3163"/>
      </w:tblGrid>
      <w:tr>
        <w:trPr>
          <w:tblHeader/>
        </w:trPr>
        <w:tc>
          <w:tcPr>
            <w:tcW w:w="2700" w:type="dxa"/>
            <w:shd w:val="clear" w:color="auto" w:fill="D9E2F3"/>
          </w:tcPr>
          <w:p>
            <w:pPr>
              <w:spacing w:before="40" w:after="40"/>
            </w:pPr>
            <w:r>
              <w:rPr>
                <w:b/>
                <w:bCs/>
              </w:rPr>
              <w:t xml:space="preserve">Node</w:t>
            </w:r>
          </w:p>
        </w:tc>
        <w:tc>
          <w:tcPr>
            <w:tcW w:w="3163" w:type="dxa"/>
            <w:shd w:val="clear" w:color="auto" w:fill="D9E2F3"/>
          </w:tcPr>
          <w:p>
            <w:pPr>
              <w:spacing w:before="40" w:after="40"/>
            </w:pPr>
            <w:r>
              <w:rPr>
                <w:b/>
                <w:bCs/>
              </w:rPr>
              <w:t xml:space="preserve">On-premises (Foundry Local)</w:t>
            </w:r>
          </w:p>
        </w:tc>
        <w:tc>
          <w:tcPr>
            <w:tcW w:w="3163" w:type="dxa"/>
            <w:shd w:val="clear" w:color="auto" w:fill="D9E2F3"/>
          </w:tcPr>
          <w:p>
            <w:pPr>
              <w:spacing w:before="40" w:after="40"/>
            </w:pPr>
            <w:r>
              <w:rPr>
                <w:b/>
                <w:bCs/>
              </w:rPr>
              <w:t xml:space="preserve">Azure (Foundry deployment)</w:t>
            </w:r>
          </w:p>
        </w:tc>
      </w:tr>
      <w:tr>
        <w:tc>
          <w:tcPr>
            <w:tcW w:w="2700" w:type="dxa"/>
          </w:tcPr>
          <w:p>
            <w:pPr>
              <w:spacing w:before="40" w:after="40"/>
            </w:pPr>
            <w:r>
              <w:t xml:space="preserve">Node 1: Extraction &amp; Verification (fast, low cost)</w:t>
            </w:r>
          </w:p>
        </w:tc>
        <w:tc>
          <w:tcPr>
            <w:tcW w:w="3163" w:type="dxa"/>
          </w:tcPr>
          <w:p>
            <w:pPr>
              <w:spacing w:before="40" w:after="40"/>
            </w:pPr>
            <w:r>
              <w:t xml:space="preserve">Small Phi-family model, e.g. Phi-4-mini</w:t>
            </w:r>
          </w:p>
        </w:tc>
        <w:tc>
          <w:tcPr>
            <w:tcW w:w="3163" w:type="dxa"/>
          </w:tcPr>
          <w:p>
            <w:pPr>
              <w:spacing w:before="40" w:after="40"/>
            </w:pPr>
            <w:r>
              <w:t xml:space="preserve">gpt-4o-mini or a current mini-tier GPT model</w:t>
            </w:r>
          </w:p>
        </w:tc>
      </w:tr>
      <w:tr>
        <w:tc>
          <w:tcPr>
            <w:tcW w:w="2700" w:type="dxa"/>
          </w:tcPr>
          <w:p>
            <w:pPr>
              <w:spacing w:before="40" w:after="40"/>
            </w:pPr>
            <w:r>
              <w:t xml:space="preserve">Node 2: Fraud &amp; Compliance (long context)</w:t>
            </w:r>
          </w:p>
        </w:tc>
        <w:tc>
          <w:tcPr>
            <w:tcW w:w="3163" w:type="dxa"/>
          </w:tcPr>
          <w:p>
            <w:pPr>
              <w:spacing w:before="40" w:after="40"/>
            </w:pPr>
            <w:r>
              <w:t xml:space="preserve">Phi-4 class; long documents are chunked and merged</w:t>
            </w:r>
          </w:p>
        </w:tc>
        <w:tc>
          <w:tcPr>
            <w:tcW w:w="3163" w:type="dxa"/>
          </w:tcPr>
          <w:p>
            <w:pPr>
              <w:spacing w:before="40" w:after="40"/>
            </w:pPr>
            <w:r>
              <w:t xml:space="preserve">Long-context GPT-4.1-class model</w:t>
            </w:r>
          </w:p>
        </w:tc>
      </w:tr>
      <w:tr>
        <w:tc>
          <w:tcPr>
            <w:tcW w:w="2700" w:type="dxa"/>
          </w:tcPr>
          <w:p>
            <w:pPr>
              <w:spacing w:before="40" w:after="40"/>
            </w:pPr>
            <w:r>
              <w:t xml:space="preserve">Node 3: Risk Synthesis (reasoning)</w:t>
            </w:r>
          </w:p>
        </w:tc>
        <w:tc>
          <w:tcPr>
            <w:tcW w:w="3163" w:type="dxa"/>
          </w:tcPr>
          <w:p>
            <w:pPr>
              <w:spacing w:before="40" w:after="40"/>
            </w:pPr>
            <w:r>
              <w:t xml:space="preserve">Reasoning-capable catalogue model, e.g. gpt-oss-20b</w:t>
            </w:r>
          </w:p>
        </w:tc>
        <w:tc>
          <w:tcPr>
            <w:tcW w:w="3163" w:type="dxa"/>
          </w:tcPr>
          <w:p>
            <w:pPr>
              <w:spacing w:before="40" w:after="40"/>
            </w:pPr>
            <w:r>
              <w:t xml:space="preserve">o-series reasoning model, or a Claude model offered in Foundry (Azure only)</w:t>
            </w:r>
          </w:p>
        </w:tc>
      </w:tr>
      <w:tr>
        <w:tc>
          <w:tcPr>
            <w:tcW w:w="2700" w:type="dxa"/>
          </w:tcPr>
          <w:p>
            <w:pPr>
              <w:spacing w:before="40" w:after="40"/>
            </w:pPr>
            <w:r>
              <w:t xml:space="preserve">Q&amp;A scope check and answering</w:t>
            </w:r>
          </w:p>
        </w:tc>
        <w:tc>
          <w:tcPr>
            <w:tcW w:w="3163" w:type="dxa"/>
          </w:tcPr>
          <w:p>
            <w:pPr>
              <w:spacing w:before="40" w:after="40"/>
            </w:pPr>
            <w:r>
              <w:t xml:space="preserve">Same as Node 1 and Node 2</w:t>
            </w:r>
          </w:p>
        </w:tc>
        <w:tc>
          <w:tcPr>
            <w:tcW w:w="3163" w:type="dxa"/>
          </w:tcPr>
          <w:p>
            <w:pPr>
              <w:spacing w:before="40" w:after="40"/>
            </w:pPr>
            <w:r>
              <w:t xml:space="preserve">Same as Node 1 and Node 2</w:t>
            </w:r>
          </w:p>
        </w:tc>
      </w:tr>
      <w:tr>
        <w:tc>
          <w:tcPr>
            <w:tcW w:w="2700" w:type="dxa"/>
          </w:tcPr>
          <w:p>
            <w:pPr>
              <w:spacing w:before="40" w:after="40"/>
            </w:pPr>
            <w:r>
              <w:t xml:space="preserve">Embeddings</w:t>
            </w:r>
          </w:p>
        </w:tc>
        <w:tc>
          <w:tcPr>
            <w:tcW w:w="3163" w:type="dxa"/>
          </w:tcPr>
          <w:p>
            <w:pPr>
              <w:spacing w:before="40" w:after="40"/>
            </w:pPr>
            <w:r>
              <w:t xml:space="preserve">Embedding model from the Foundry Local catalogue, if offered (to be confirmed)</w:t>
            </w:r>
          </w:p>
        </w:tc>
        <w:tc>
          <w:tcPr>
            <w:tcW w:w="3163" w:type="dxa"/>
          </w:tcPr>
          <w:p>
            <w:pPr>
              <w:spacing w:before="40" w:after="40"/>
            </w:pPr>
            <w:r>
              <w:t xml:space="preserve">Foundry embedding deployment, e.g. text-embedding-3-small</w:t>
            </w:r>
          </w:p>
        </w:tc>
      </w:tr>
    </w:tbl>
    <w:p/>
    <w:p>
      <w:pPr>
        <w:pStyle w:val="ListParagraph"/>
        <w:numPr>
          <w:ilvl w:val="0"/>
          <w:numId w:val="2"/>
        </w:numPr>
      </w:pPr>
      <w:r>
        <w:rPr>
          <w:b/>
          <w:bCs/>
        </w:rPr>
        <w:t xml:space="preserve">Node 1: Data Extraction &amp; Verification</w:t>
      </w:r>
    </w:p>
    <w:p>
      <w:pPr>
        <w:pStyle w:val="ListParagraph"/>
        <w:numPr>
          <w:ilvl w:val="1"/>
          <w:numId w:val="2"/>
        </w:numPr>
      </w:pPr>
      <w:r>
        <w:t xml:space="preserve">Extracts financial metrics (revenue, returns, officer compensation, depreciation, interest, taxable income, short- and long-term debt, EBITDA) from the uploaded PDF and validates completeness. Output is structured JSON with a per-field confidence.</w:t>
      </w:r>
    </w:p>
    <w:p>
      <w:pPr>
        <w:pStyle w:val="ListParagraph"/>
        <w:numPr>
          <w:ilvl w:val="1"/>
          <w:numId w:val="2"/>
        </w:numPr>
      </w:pPr>
      <w:r>
        <w:t xml:space="preserve">Arithmetic is cross-checked in code (gross minus returns equals net revenue; EBITDA is recomputed in code, not trusted from the model). EBITDA = taxable income + interest + depreciation + officer compensation; reports also show EBITDA without the officer add-back.</w:t>
      </w:r>
    </w:p>
    <w:p>
      <w:pPr>
        <w:pStyle w:val="ListParagraph"/>
        <w:numPr>
          <w:ilvl w:val="1"/>
          <w:numId w:val="2"/>
        </w:numPr>
      </w:pPr>
      <w:r>
        <w:t xml:space="preserve">If required fields are missing, Node 1 retries once, then the case escalates to a human instead of guessing.</w:t>
      </w:r>
    </w:p>
    <w:p>
      <w:pPr>
        <w:pStyle w:val="ListParagraph"/>
        <w:numPr>
          <w:ilvl w:val="0"/>
          <w:numId w:val="2"/>
        </w:numPr>
      </w:pPr>
      <w:r>
        <w:rPr>
          <w:b/>
          <w:bCs/>
        </w:rPr>
        <w:t xml:space="preserve">Node 2: Fraud &amp; Compliance Checking</w:t>
      </w:r>
    </w:p>
    <w:p>
      <w:pPr>
        <w:pStyle w:val="ListParagraph"/>
        <w:numPr>
          <w:ilvl w:val="1"/>
          <w:numId w:val="2"/>
        </w:numPr>
      </w:pPr>
      <w:r>
        <w:t xml:space="preserve">Cross-references the extracted data against KYC/AML rules, tax-versus-bank variance and internal arithmetic consistency.</w:t>
      </w:r>
    </w:p>
    <w:p>
      <w:pPr>
        <w:pStyle w:val="ListParagraph"/>
        <w:numPr>
          <w:ilvl w:val="1"/>
          <w:numId w:val="2"/>
        </w:numPr>
      </w:pPr>
      <w:r>
        <w:t xml:space="preserve">Flags anomalies with a severity (Low, Medium, High, Critical), rule id and evidence. Document text is treated as data, never as instructions (prompt-injection defence).</w:t>
      </w:r>
    </w:p>
    <w:p>
      <w:pPr>
        <w:pStyle w:val="ListParagraph"/>
        <w:numPr>
          <w:ilvl w:val="0"/>
          <w:numId w:val="2"/>
        </w:numPr>
      </w:pPr>
      <w:r>
        <w:rPr>
          <w:b/>
          <w:bCs/>
        </w:rPr>
        <w:t xml:space="preserve">Node 3: Risk Scoring &amp; Synthesis</w:t>
      </w:r>
    </w:p>
    <w:p>
      <w:pPr>
        <w:pStyle w:val="ListParagraph"/>
        <w:numPr>
          <w:ilvl w:val="1"/>
          <w:numId w:val="2"/>
        </w:numPr>
      </w:pPr>
      <w:r>
        <w:t xml:space="preserve">Evaluates creditworthiness from the outputs of Nodes 1 and 2, writes the structured Risk Assessment Report and gives an AI recommendation (Approve, Deny or Escalate).</w:t>
      </w:r>
    </w:p>
    <w:p>
      <w:pPr>
        <w:pStyle w:val="ListParagraph"/>
        <w:numPr>
          <w:ilvl w:val="0"/>
          <w:numId w:val="2"/>
        </w:numPr>
      </w:pPr>
      <w:r>
        <w:t xml:space="preserve">The numeric risk score is computed by deterministic code (section 4), not by the model.</w:t>
      </w:r>
    </w:p>
    <w:p>
      <w:pPr>
        <w:pStyle w:val="ListParagraph"/>
        <w:numPr>
          <w:ilvl w:val="0"/>
          <w:numId w:val="2"/>
        </w:numPr>
      </w:pPr>
      <w:r>
        <w:t xml:space="preserve">Model calls use timeouts, retries with backoff and a circuit breaker.</w:t>
      </w:r>
    </w:p>
    <w:p>
      <w:pPr>
        <w:keepNext/>
        <w:spacing w:before="200"/>
        <w:rPr>
          <w:b/>
          <w:bCs/>
        </w:rPr>
      </w:pPr>
      <w:r>
        <w:rPr>
          <w:b/>
          <w:bCs/>
        </w:rPr>
        <w:t xml:space="preserve">4. Risk Scorecard and Decision Model</w:t>
      </w:r>
    </w:p>
    <w:p>
      <w:pPr>
        <w:pStyle w:val="ListParagraph"/>
        <w:numPr>
          <w:ilvl w:val="0"/>
          <w:numId w:val="2"/>
        </w:numPr>
      </w:pPr>
      <w:r>
        <w:t xml:space="preserve">The benchmark scorecard rates creditworthiness (higher is better). The business routing uses risk (higher is worse), so </w:t>
      </w:r>
      <w:r>
        <w:rPr>
          <w:b/>
          <w:bCs/>
        </w:rPr>
        <w:t xml:space="preserve">Risk Score = 100 minus the creditworthiness score</w:t>
      </w:r>
      <w:r>
        <w:t xml:space="preserve">.</w:t>
      </w:r>
    </w:p>
    <w:p>
      <w:pPr>
        <w:pStyle w:val="ListParagraph"/>
        <w:numPr>
          <w:ilvl w:val="0"/>
          <w:numId w:val="2"/>
        </w:numPr>
      </w:pPr>
      <w:r>
        <w:t xml:space="preserve">Scorecard pillars: Debt/EBITDA 40%, debt service coverage 30%, EBITDA margin 20%, data integrity (tax-to-bank variance) 10%. If a pillar cannot be computed (for example no bank totals), it is marked unavailable and the remaining weights are renormalised, and the report says so.</w:t>
      </w:r>
    </w:p>
    <w:p>
      <w:pPr>
        <w:pStyle w:val="ListParagraph"/>
        <w:numPr>
          <w:ilvl w:val="0"/>
          <w:numId w:val="2"/>
        </w:numPr>
      </w:pPr>
      <w:r>
        <w:t xml:space="preserve">A formal, versioned </w:t>
      </w:r>
      <w:r>
        <w:rPr>
          <w:b/>
          <w:bCs/>
        </w:rPr>
        <w:t xml:space="preserve">Decision Model</w:t>
      </w:r>
      <w:r>
        <w:t xml:space="preserve"> sits between scoring and routing. It is an ordered decision table (first match wins). The AI advises; the decision model decides.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Pr>
      <w:tblGrid>
        <w:gridCol w:w="800"/>
        <w:gridCol w:w="5226"/>
        <w:gridCol w:w="3000"/>
      </w:tblGrid>
      <w:tr>
        <w:trPr>
          <w:tblHeader/>
        </w:trPr>
        <w:tc>
          <w:tcPr>
            <w:tcW w:w="800" w:type="dxa"/>
            <w:shd w:val="clear" w:color="auto" w:fill="D9E2F3"/>
          </w:tcPr>
          <w:p>
            <w:pPr>
              <w:spacing w:before="40" w:after="40"/>
            </w:pPr>
            <w:r>
              <w:rPr>
                <w:b/>
                <w:bCs/>
              </w:rPr>
              <w:t xml:space="preserve">Rule</w:t>
            </w:r>
          </w:p>
        </w:tc>
        <w:tc>
          <w:tcPr>
            <w:tcW w:w="5226" w:type="dxa"/>
            <w:shd w:val="clear" w:color="auto" w:fill="D9E2F3"/>
          </w:tcPr>
          <w:p>
            <w:pPr>
              <w:spacing w:before="40" w:after="40"/>
            </w:pPr>
            <w:r>
              <w:rPr>
                <w:b/>
                <w:bCs/>
              </w:rPr>
              <w:t xml:space="preserve">Condition</w:t>
            </w:r>
          </w:p>
        </w:tc>
        <w:tc>
          <w:tcPr>
            <w:tcW w:w="3000" w:type="dxa"/>
            <w:shd w:val="clear" w:color="auto" w:fill="D9E2F3"/>
          </w:tcPr>
          <w:p>
            <w:pPr>
              <w:spacing w:before="40" w:after="40"/>
            </w:pPr>
            <w:r>
              <w:rPr>
                <w:b/>
                <w:bCs/>
              </w:rPr>
              <w:t xml:space="preserve">Outcome</w:t>
            </w:r>
          </w:p>
        </w:tc>
      </w:tr>
      <w:tr>
        <w:tc>
          <w:tcPr>
            <w:tcW w:w="800" w:type="dxa"/>
          </w:tcPr>
          <w:p>
            <w:pPr>
              <w:spacing w:before="40" w:after="40"/>
            </w:pPr>
            <w:r>
              <w:t xml:space="preserve">R1</w:t>
            </w:r>
          </w:p>
        </w:tc>
        <w:tc>
          <w:tcPr>
            <w:tcW w:w="5226" w:type="dxa"/>
          </w:tcPr>
          <w:p>
            <w:pPr>
              <w:spacing w:before="40" w:after="40"/>
            </w:pPr>
            <w:r>
              <w:t xml:space="preserve">Required fields still missing after retry</w:t>
            </w:r>
          </w:p>
        </w:tc>
        <w:tc>
          <w:tcPr>
            <w:tcW w:w="3000" w:type="dxa"/>
          </w:tcPr>
          <w:p>
            <w:pPr>
              <w:spacing w:before="40" w:after="40"/>
            </w:pPr>
            <w:r>
              <w:t xml:space="preserve">Escalate to human review</w:t>
            </w:r>
          </w:p>
        </w:tc>
      </w:tr>
      <w:tr>
        <w:tc>
          <w:tcPr>
            <w:tcW w:w="800" w:type="dxa"/>
          </w:tcPr>
          <w:p>
            <w:pPr>
              <w:spacing w:before="40" w:after="40"/>
            </w:pPr>
            <w:r>
              <w:t xml:space="preserve">R2</w:t>
            </w:r>
          </w:p>
        </w:tc>
        <w:tc>
          <w:tcPr>
            <w:tcW w:w="5226" w:type="dxa"/>
          </w:tcPr>
          <w:p>
            <w:pPr>
              <w:spacing w:before="40" w:after="40"/>
            </w:pPr>
            <w:r>
              <w:t xml:space="preserve">Any Critical compliance flag</w:t>
            </w:r>
          </w:p>
        </w:tc>
        <w:tc>
          <w:tcPr>
            <w:tcW w:w="3000" w:type="dxa"/>
          </w:tcPr>
          <w:p>
            <w:pPr>
              <w:spacing w:before="40" w:after="40"/>
            </w:pPr>
            <w:r>
              <w:t xml:space="preserve">Escalate to compliance review; never auto-approved</w:t>
            </w:r>
          </w:p>
        </w:tc>
      </w:tr>
      <w:tr>
        <w:tc>
          <w:tcPr>
            <w:tcW w:w="800" w:type="dxa"/>
          </w:tcPr>
          <w:p>
            <w:pPr>
              <w:spacing w:before="40" w:after="40"/>
            </w:pPr>
            <w:r>
              <w:t xml:space="preserve">R3</w:t>
            </w:r>
          </w:p>
        </w:tc>
        <w:tc>
          <w:tcPr>
            <w:tcW w:w="5226" w:type="dxa"/>
          </w:tcPr>
          <w:p>
            <w:pPr>
              <w:spacing w:before="40" w:after="40"/>
            </w:pPr>
            <w:r>
              <w:t xml:space="preserve">Minimum field confidence below 0.80, or reconciliation failed</w:t>
            </w:r>
          </w:p>
        </w:tc>
        <w:tc>
          <w:tcPr>
            <w:tcW w:w="3000" w:type="dxa"/>
          </w:tcPr>
          <w:p>
            <w:pPr>
              <w:spacing w:before="40" w:after="40"/>
            </w:pPr>
            <w:r>
              <w:t xml:space="preserve">Escalate to human review</w:t>
            </w:r>
          </w:p>
        </w:tc>
      </w:tr>
      <w:tr>
        <w:tc>
          <w:tcPr>
            <w:tcW w:w="800" w:type="dxa"/>
          </w:tcPr>
          <w:p>
            <w:pPr>
              <w:spacing w:before="40" w:after="40"/>
            </w:pPr>
            <w:r>
              <w:t xml:space="preserve">R4</w:t>
            </w:r>
          </w:p>
        </w:tc>
        <w:tc>
          <w:tcPr>
            <w:tcW w:w="5226" w:type="dxa"/>
          </w:tcPr>
          <w:p>
            <w:pPr>
              <w:spacing w:before="40" w:after="40"/>
            </w:pPr>
            <w:r>
              <w:t xml:space="preserve">Risk score above 70 (High)</w:t>
            </w:r>
          </w:p>
        </w:tc>
        <w:tc>
          <w:tcPr>
            <w:tcW w:w="3000" w:type="dxa"/>
          </w:tcPr>
          <w:p>
            <w:pPr>
              <w:spacing w:before="40" w:after="40"/>
            </w:pPr>
            <w:r>
              <w:t xml:space="preserve">Auto-Denial</w:t>
            </w:r>
          </w:p>
        </w:tc>
      </w:tr>
      <w:tr>
        <w:tc>
          <w:tcPr>
            <w:tcW w:w="800" w:type="dxa"/>
          </w:tcPr>
          <w:p>
            <w:pPr>
              <w:spacing w:before="40" w:after="40"/>
            </w:pPr>
            <w:r>
              <w:t xml:space="preserve">R5</w:t>
            </w:r>
          </w:p>
        </w:tc>
        <w:tc>
          <w:tcPr>
            <w:tcW w:w="5226" w:type="dxa"/>
          </w:tcPr>
          <w:p>
            <w:pPr>
              <w:spacing w:before="40" w:after="40"/>
            </w:pPr>
            <w:r>
              <w:t xml:space="preserve">Risk score below 30 (Low), no High flag, AI does not recommend Deny</w:t>
            </w:r>
          </w:p>
        </w:tc>
        <w:tc>
          <w:tcPr>
            <w:tcW w:w="3000" w:type="dxa"/>
          </w:tcPr>
          <w:p>
            <w:pPr>
              <w:spacing w:before="40" w:after="40"/>
            </w:pPr>
            <w:r>
              <w:t xml:space="preserve">Auto-Approval</w:t>
            </w:r>
          </w:p>
        </w:tc>
      </w:tr>
      <w:tr>
        <w:tc>
          <w:tcPr>
            <w:tcW w:w="800" w:type="dxa"/>
          </w:tcPr>
          <w:p>
            <w:pPr>
              <w:spacing w:before="40" w:after="40"/>
            </w:pPr>
            <w:r>
              <w:t xml:space="preserve">R6</w:t>
            </w:r>
          </w:p>
        </w:tc>
        <w:tc>
          <w:tcPr>
            <w:tcW w:w="5226" w:type="dxa"/>
          </w:tcPr>
          <w:p>
            <w:pPr>
              <w:spacing w:before="40" w:after="40"/>
            </w:pPr>
            <w:r>
              <w:t xml:space="preserve">Anything else, including scores 30 to 70 and AI/scorecard disagreement</w:t>
            </w:r>
          </w:p>
        </w:tc>
        <w:tc>
          <w:tcPr>
            <w:tcW w:w="3000" w:type="dxa"/>
          </w:tcPr>
          <w:p>
            <w:pPr>
              <w:spacing w:before="40" w:after="40"/>
            </w:pPr>
            <w:r>
              <w:t xml:space="preserve">Escalate to Human-in-the-Loop</w:t>
            </w:r>
          </w:p>
        </w:tc>
      </w:tr>
    </w:tbl>
    <w:p/>
    <w:p>
      <w:pPr>
        <w:pStyle w:val="ListParagraph"/>
        <w:numPr>
          <w:ilvl w:val="0"/>
          <w:numId w:val="2"/>
        </w:numPr>
      </w:pPr>
      <w:r>
        <w:t xml:space="preserve">Each decision records the rule that fired, reason codes (adverse-action codes for denials), a plain-language explanation and the decision-model version.</w:t>
      </w:r>
    </w:p>
    <w:p>
      <w:pPr>
        <w:pStyle w:val="ListParagraph"/>
        <w:numPr>
          <w:ilvl w:val="0"/>
          <w:numId w:val="2"/>
        </w:numPr>
      </w:pPr>
      <w:r>
        <w:t xml:space="preserve">Thresholds (30, 70, 0.80) are policy parameters. Changes need Risk Policy Owner approval and are version-stamped.</w:t>
      </w:r>
    </w:p>
    <w:p>
      <w:pPr>
        <w:pStyle w:val="ListParagraph"/>
        <w:numPr>
          <w:ilvl w:val="0"/>
          <w:numId w:val="2"/>
        </w:numPr>
      </w:pPr>
      <w:r>
        <w:t xml:space="preserve">Benchmark expectation: Entities A, B and C auto-approve; Entity D goes to human review.</w:t>
      </w:r>
    </w:p>
    <w:p>
      <w:pPr>
        <w:keepNext/>
        <w:spacing w:before="200"/>
        <w:rPr>
          <w:b/>
          <w:bCs/>
        </w:rPr>
      </w:pPr>
      <w:r>
        <w:rPr>
          <w:b/>
          <w:bCs/>
        </w:rPr>
        <w:t xml:space="preserve">5. Conditional Routing</w:t>
      </w:r>
    </w:p>
    <w:p>
      <w:pPr>
        <w:pStyle w:val="ListParagraph"/>
        <w:numPr>
          <w:ilvl w:val="0"/>
          <w:numId w:val="2"/>
        </w:numPr>
      </w:pPr>
      <w:r>
        <w:t xml:space="preserve">Routing follows the decision model's result:</w:t>
      </w:r>
    </w:p>
    <w:p>
      <w:pPr>
        <w:pStyle w:val="ListParagraph"/>
        <w:numPr>
          <w:ilvl w:val="1"/>
          <w:numId w:val="2"/>
        </w:numPr>
      </w:pPr>
      <w:r>
        <w:t xml:space="preserve">Risk Score Low (below 30), with no blocking flags: route directly to Auto-Approval.</w:t>
      </w:r>
    </w:p>
    <w:p>
      <w:pPr>
        <w:pStyle w:val="ListParagraph"/>
        <w:numPr>
          <w:ilvl w:val="1"/>
          <w:numId w:val="2"/>
        </w:numPr>
      </w:pPr>
      <w:r>
        <w:t xml:space="preserve">Risk Score High (above 70): route directly to Auto-Denial.</w:t>
      </w:r>
    </w:p>
    <w:p>
      <w:pPr>
        <w:pStyle w:val="ListParagraph"/>
        <w:numPr>
          <w:ilvl w:val="1"/>
          <w:numId w:val="2"/>
        </w:numPr>
      </w:pPr>
      <w:r>
        <w:t xml:space="preserve">Risk Score Medium (30 to 70 inclusive), or any escalation rule R1 to R3 or R6: route to the Human-in-the-Loop step.</w:t>
      </w:r>
    </w:p>
    <w:p>
      <w:pPr>
        <w:keepNext/>
        <w:spacing w:before="200"/>
        <w:rPr>
          <w:b/>
          <w:bCs/>
        </w:rPr>
      </w:pPr>
      <w:r>
        <w:rPr>
          <w:b/>
          <w:bCs/>
        </w:rPr>
        <w:t xml:space="preserve">6. Human-in-the-Loop (HITL) Integration</w:t>
      </w:r>
    </w:p>
    <w:p>
      <w:pPr>
        <w:pStyle w:val="ListParagraph"/>
        <w:numPr>
          <w:ilvl w:val="0"/>
          <w:numId w:val="2"/>
        </w:numPr>
      </w:pPr>
      <w:r>
        <w:t xml:space="preserve">The user interface shows progress through each step and a summary of what each step produced.</w:t>
      </w:r>
    </w:p>
    <w:p>
      <w:pPr>
        <w:pStyle w:val="ListParagraph"/>
        <w:numPr>
          <w:ilvl w:val="0"/>
          <w:numId w:val="2"/>
        </w:numPr>
      </w:pPr>
      <w:r>
        <w:t xml:space="preserve">The workflow pauses at a request point before the final decision for escalated cases. Case state is saved in the database, so it persists across restarts.</w:t>
      </w:r>
    </w:p>
    <w:p>
      <w:pPr>
        <w:pStyle w:val="ListParagraph"/>
        <w:numPr>
          <w:ilvl w:val="0"/>
          <w:numId w:val="2"/>
        </w:numPr>
      </w:pPr>
      <w:r>
        <w:t xml:space="preserve">The underwriter screen shows extracted metrics with confidence, flags with evidence, the AI reasoning, the scorecard breakdown, the decision rule fired with reason codes, and the full step history.</w:t>
      </w:r>
    </w:p>
    <w:p>
      <w:pPr>
        <w:pStyle w:val="ListParagraph"/>
        <w:numPr>
          <w:ilvl w:val="0"/>
          <w:numId w:val="2"/>
        </w:numPr>
      </w:pPr>
      <w:r>
        <w:t xml:space="preserve">The underwriter can Approve, Deny or Override with a mandatory reason, and the workflow resumes from the checkpoint. The AI recommendation, decision-model result, human decision, user and time are all audited.</w:t>
      </w:r>
    </w:p>
    <w:p>
      <w:pPr>
        <w:pStyle w:val="ListParagraph"/>
        <w:numPr>
          <w:ilvl w:val="0"/>
          <w:numId w:val="2"/>
        </w:numPr>
      </w:pPr>
      <w:r>
        <w:t xml:space="preserve">Separation of duties: the person who submitted a case cannot make the underwriting decision on it.</w:t>
      </w:r>
    </w:p>
    <w:p>
      <w:pPr>
        <w:keepNext/>
        <w:spacing w:before="200"/>
        <w:rPr>
          <w:b/>
          <w:bCs/>
        </w:rPr>
      </w:pPr>
      <w:r>
        <w:rPr>
          <w:b/>
          <w:bCs/>
        </w:rPr>
        <w:t xml:space="preserve">7. Document Q&amp;A with Guardrails (new)</w:t>
      </w:r>
    </w:p>
    <w:p>
      <w:pPr>
        <w:pStyle w:val="ListParagraph"/>
        <w:numPr>
          <w:ilvl w:val="0"/>
          <w:numId w:val="2"/>
        </w:numPr>
      </w:pPr>
      <w:r>
        <w:t xml:space="preserve">The case page has an "Ask the document" panel where a user can ask questions about the loaded entity PDF and receive answers with page citations.</w:t>
      </w:r>
    </w:p>
    <w:p>
      <w:pPr>
        <w:pStyle w:val="ListParagraph"/>
        <w:numPr>
          <w:ilvl w:val="0"/>
          <w:numId w:val="2"/>
        </w:numPr>
      </w:pPr>
      <w:r>
        <w:t xml:space="preserve">On upload the document is split into chunks, embedded, and stored in a </w:t>
      </w:r>
      <w:r>
        <w:rPr>
          <w:b/>
          <w:bCs/>
        </w:rPr>
        <w:t xml:space="preserve">SQL Server native vector (VECTOR) column</w:t>
      </w:r>
      <w:r>
        <w:t xml:space="preserve">, tagged with the case. Searches use SQL Server's vector distance function, so no second database engine is needed.</w:t>
      </w:r>
    </w:p>
    <w:p>
      <w:pPr>
        <w:pStyle w:val="ListParagraph"/>
        <w:numPr>
          <w:ilvl w:val="0"/>
          <w:numId w:val="2"/>
        </w:numPr>
      </w:pPr>
      <w:r>
        <w:rPr>
          <w:b/>
          <w:bCs/>
        </w:rPr>
        <w:t xml:space="preserve">Strict scope:</w:t>
      </w:r>
      <w:r>
        <w:t xml:space="preserve"> every search is filtered to the current case in the data layer. Nothing outside the loaded PDF is searched: no web, no other documents, no other cases. The answering model has no tools, and on-premises the service has no outbound network access. If nothing relevant is found, the answer is "not found in the loaded document".</w:t>
      </w:r>
    </w:p>
    <w:p>
      <w:pPr>
        <w:pStyle w:val="ListParagraph"/>
        <w:numPr>
          <w:ilvl w:val="0"/>
          <w:numId w:val="2"/>
        </w:numPr>
      </w:pPr>
      <w:r>
        <w:rPr>
          <w:b/>
          <w:bCs/>
        </w:rPr>
        <w:t xml:space="preserve">Guardrails (all must pass):</w:t>
      </w:r>
    </w:p>
    <w:p>
      <w:pPr>
        <w:pStyle w:val="ListParagraph"/>
        <w:numPr>
          <w:ilvl w:val="1"/>
          <w:numId w:val="2"/>
        </w:numPr>
      </w:pPr>
      <w:r>
        <w:t xml:space="preserve">Input checks: length and rate limits, plus prompt-injection and jailbreak detection.</w:t>
      </w:r>
    </w:p>
    <w:p>
      <w:pPr>
        <w:pStyle w:val="ListParagraph"/>
        <w:numPr>
          <w:ilvl w:val="1"/>
          <w:numId w:val="2"/>
        </w:numPr>
      </w:pPr>
      <w:r>
        <w:t xml:space="preserve">Scope check: general knowledge, other companies, legal or market advice, code, opinions and questions about the assistant are refused. Retrieval similarity is a second, independent check.</w:t>
      </w:r>
    </w:p>
    <w:p>
      <w:pPr>
        <w:pStyle w:val="ListParagraph"/>
        <w:numPr>
          <w:ilvl w:val="1"/>
          <w:numId w:val="2"/>
        </w:numPr>
      </w:pPr>
      <w:r>
        <w:t xml:space="preserve">Decision protection: the panel never reveals or changes the risk score, decision-model result, compliance analysis or AI recommendation, and cannot approve or deny.</w:t>
      </w:r>
    </w:p>
    <w:p>
      <w:pPr>
        <w:pStyle w:val="ListParagraph"/>
        <w:numPr>
          <w:ilvl w:val="1"/>
          <w:numId w:val="2"/>
        </w:numPr>
      </w:pPr>
      <w:r>
        <w:t xml:space="preserve">Grounded answers only, with citations, from the retrieved excerpts. An answer with no valid citation is replaced by a refusal, and every number in an answer must appear in the cited text.</w:t>
      </w:r>
    </w:p>
    <w:p>
      <w:pPr>
        <w:pStyle w:val="ListParagraph"/>
        <w:numPr>
          <w:ilvl w:val="1"/>
          <w:numId w:val="2"/>
        </w:numPr>
      </w:pPr>
      <w:r>
        <w:t xml:space="preserve">Every question, the chunks retrieved and the answer or refusal is written to the audit log. Q&amp;A never changes the workflow state or the decision.</w:t>
      </w:r>
    </w:p>
    <w:p>
      <w:pPr>
        <w:keepNext/>
        <w:spacing w:before="200"/>
        <w:rPr>
          <w:b/>
          <w:bCs/>
        </w:rPr>
      </w:pPr>
      <w:r>
        <w:rPr>
          <w:b/>
          <w:bCs/>
        </w:rPr>
        <w:t xml:space="preserve">8. Deployment and Platform (new)</w:t>
      </w:r>
    </w:p>
    <w:p>
      <w:pPr>
        <w:pStyle w:val="ListParagraph"/>
        <w:numPr>
          <w:ilvl w:val="0"/>
          <w:numId w:val="2"/>
        </w:numPr>
      </w:pPr>
      <w:r>
        <w:rPr>
          <w:b/>
          <w:bCs/>
        </w:rPr>
        <w:t xml:space="preserve">On-premises by default, with no Docker or containers.</w:t>
      </w:r>
      <w:r>
        <w:t xml:space="preserve"> The API runs as a Windows Service or under IIS on Windows Server, the React app is served as static files, Foundry Local runs as a native service, and the database is SQL Server 2025 (needed for the vector type).</w:t>
      </w:r>
    </w:p>
    <w:p>
      <w:pPr>
        <w:pStyle w:val="ListParagraph"/>
        <w:numPr>
          <w:ilvl w:val="0"/>
          <w:numId w:val="2"/>
        </w:numPr>
      </w:pPr>
      <w:r>
        <w:rPr>
          <w:b/>
          <w:bCs/>
        </w:rPr>
        <w:t xml:space="preserve">Azure is an option.</w:t>
      </w:r>
      <w:r>
        <w:t xml:space="preserve"> One setting, Deployment:Mode = OnPrem or Azure, switches the platform adapters and model endpoints. The same code runs in both modes. Azure uses App Service, Azure SQL, Blob Storage, Foundry model deployments, Azure SignalR, Key Vault and Application Insights, provisioned with Bicep.</w:t>
      </w:r>
    </w:p>
    <w:p>
      <w:pPr>
        <w:pStyle w:val="ListParagraph"/>
        <w:numPr>
          <w:ilvl w:val="0"/>
          <w:numId w:val="2"/>
        </w:numPr>
      </w:pPr>
      <w:r>
        <w:t xml:space="preserve">Installation is scripted: deploy.ps1 with -Target OnPrem or -Target Azure. At startup the application checks its configuration and refuses to start if the mode and adapters do not match.</w:t>
      </w:r>
    </w:p>
    <w:p>
      <w:pPr>
        <w:pStyle w:val="ListParagraph"/>
        <w:numPr>
          <w:ilvl w:val="0"/>
          <w:numId w:val="2"/>
        </w:numPr>
      </w:pPr>
      <w:r>
        <w:t xml:space="preserve">Security: encryption at rest and in transit, role-based access, PII redaction in logs, malware scan on upload. In on-premises mode no document, embedding or prompt leaves the network.</w:t>
      </w:r>
    </w:p>
    <w:p>
      <w:pPr>
        <w:pStyle w:val="ListParagraph"/>
        <w:numPr>
          <w:ilvl w:val="0"/>
          <w:numId w:val="2"/>
        </w:numPr>
      </w:pPr>
      <w:r>
        <w:t xml:space="preserve">Observability: OpenTelemetry traces and per-step cost, latency and token metrics.</w:t>
      </w:r>
    </w:p>
    <w:p>
      <w:pPr>
        <w:keepNext/>
        <w:spacing w:before="200"/>
        <w:rPr>
          <w:b/>
          <w:bCs/>
        </w:rPr>
      </w:pPr>
      <w:r>
        <w:rPr>
          <w:b/>
          <w:bCs/>
        </w:rPr>
        <w:t xml:space="preserve">9. Success Measures</w:t>
      </w:r>
    </w:p>
    <w:p>
      <w:pPr>
        <w:pStyle w:val="ListParagraph"/>
        <w:numPr>
          <w:ilvl w:val="0"/>
          <w:numId w:val="2"/>
        </w:numPr>
      </w:pPr>
      <w:r>
        <w:t xml:space="preserve">Median processing time under 5 minutes (Azure mode); the on-premises target is set after a pilot on the available hardware.</w:t>
      </w:r>
    </w:p>
    <w:p>
      <w:pPr>
        <w:pStyle w:val="ListParagraph"/>
        <w:numPr>
          <w:ilvl w:val="0"/>
          <w:numId w:val="2"/>
        </w:numPr>
      </w:pPr>
      <w:r>
        <w:t xml:space="preserve">At least 98% extraction accuracy on the benchmark line items in Azure mode; on-premises accuracy is measured and a minimum agreed, with the low-confidence rule R3 as the safety net.</w:t>
      </w:r>
    </w:p>
    <w:p>
      <w:pPr>
        <w:pStyle w:val="ListParagraph"/>
        <w:numPr>
          <w:ilvl w:val="0"/>
          <w:numId w:val="2"/>
        </w:numPr>
      </w:pPr>
      <w:r>
        <w:t xml:space="preserve">100% of cases have a complete audit history, including the decision-model version.</w:t>
      </w:r>
    </w:p>
    <w:p>
      <w:pPr>
        <w:pStyle w:val="ListParagraph"/>
        <w:numPr>
          <w:ilvl w:val="0"/>
          <w:numId w:val="2"/>
        </w:numPr>
      </w:pPr>
      <w:r>
        <w:t xml:space="preserve">Document Q&amp;A refuses 100% of the out-of-scope and prompt-injection test set, answers at least 95% of in-document questions correctly with a valid citation, and shows no cross-case leakage.</w:t>
      </w:r>
    </w:p>
    <w:p>
      <w:pPr>
        <w:keepNext/>
        <w:spacing w:before="200"/>
        <w:rPr>
          <w:b/>
          <w:bCs/>
        </w:rPr>
      </w:pPr>
      <w:r>
        <w:rPr>
          <w:b/>
          <w:bCs/>
        </w:rPr>
        <w:t xml:space="preserve">10. Changes from the Original Business Case</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Pr>
      <w:tblGrid>
        <w:gridCol w:w="4513"/>
        <w:gridCol w:w="4513"/>
      </w:tblGrid>
      <w:tr>
        <w:trPr>
          <w:tblHeader/>
        </w:trPr>
        <w:tc>
          <w:tcPr>
            <w:tcW w:w="4513" w:type="dxa"/>
            <w:shd w:val="clear" w:color="auto" w:fill="D9E2F3"/>
          </w:tcPr>
          <w:p>
            <w:pPr>
              <w:spacing w:before="40" w:after="40"/>
            </w:pPr>
            <w:r>
              <w:rPr>
                <w:b/>
                <w:bCs/>
              </w:rPr>
              <w:t xml:space="preserve">Original</w:t>
            </w:r>
          </w:p>
        </w:tc>
        <w:tc>
          <w:tcPr>
            <w:tcW w:w="4513" w:type="dxa"/>
            <w:shd w:val="clear" w:color="auto" w:fill="D9E2F3"/>
          </w:tcPr>
          <w:p>
            <w:pPr>
              <w:spacing w:before="40" w:after="40"/>
            </w:pPr>
            <w:r>
              <w:rPr>
                <w:b/>
                <w:bCs/>
              </w:rPr>
              <w:t xml:space="preserve">Now</w:t>
            </w:r>
          </w:p>
        </w:tc>
      </w:tr>
      <w:tr>
        <w:tc>
          <w:tcPr>
            <w:tcW w:w="4513" w:type="dxa"/>
          </w:tcPr>
          <w:p>
            <w:pPr>
              <w:spacing w:before="40" w:after="40"/>
            </w:pPr>
            <w:r>
              <w:t xml:space="preserve">Pass the PDF and the company email to Node 1; email the final decision</w:t>
            </w:r>
          </w:p>
        </w:tc>
        <w:tc>
          <w:tcPr>
            <w:tcW w:w="4513" w:type="dxa"/>
          </w:tcPr>
          <w:p>
            <w:pPr>
              <w:spacing w:before="40" w:after="40"/>
            </w:pPr>
            <w:r>
              <w:t xml:space="preserve">PDF only; no email. Decision shown on screen with a downloadable record</w:t>
            </w:r>
          </w:p>
        </w:tc>
      </w:tr>
      <w:tr>
        <w:tc>
          <w:tcPr>
            <w:tcW w:w="4513" w:type="dxa"/>
          </w:tcPr>
          <w:p>
            <w:pPr>
              <w:spacing w:before="40" w:after="40"/>
            </w:pPr>
            <w:r>
              <w:t xml:space="preserve">LangGraph StateGraph</w:t>
            </w:r>
          </w:p>
        </w:tc>
        <w:tc>
          <w:tcPr>
            <w:tcW w:w="4513" w:type="dxa"/>
          </w:tcPr>
          <w:p>
            <w:pPr>
              <w:spacing w:before="40" w:after="40"/>
            </w:pPr>
            <w:r>
              <w:t xml:space="preserve">Microsoft Agent Framework workflow in C# / .NET</w:t>
            </w:r>
          </w:p>
        </w:tc>
      </w:tr>
      <w:tr>
        <w:tc>
          <w:tcPr>
            <w:tcW w:w="4513" w:type="dxa"/>
          </w:tcPr>
          <w:p>
            <w:pPr>
              <w:spacing w:before="40" w:after="40"/>
            </w:pPr>
            <w:r>
              <w:t xml:space="preserve">GPT-4o-mini or Haiku, Gemini 1.5 Pro, o1 or Claude 3.5 Sonnet</w:t>
            </w:r>
          </w:p>
        </w:tc>
        <w:tc>
          <w:tcPr>
            <w:tcW w:w="4513" w:type="dxa"/>
          </w:tcPr>
          <w:p>
            <w:pPr>
              <w:spacing w:before="40" w:after="40"/>
            </w:pPr>
            <w:r>
              <w:t xml:space="preserve">Only Azure and Foundry supported models, set in configuration; Gemini removed</w:t>
            </w:r>
          </w:p>
        </w:tc>
      </w:tr>
      <w:tr>
        <w:tc>
          <w:tcPr>
            <w:tcW w:w="4513" w:type="dxa"/>
          </w:tcPr>
          <w:p>
            <w:pPr>
              <w:spacing w:before="40" w:after="40"/>
            </w:pPr>
            <w:r>
              <w:t xml:space="preserve">Risk score produced by Node 3</w:t>
            </w:r>
          </w:p>
        </w:tc>
        <w:tc>
          <w:tcPr>
            <w:tcW w:w="4513" w:type="dxa"/>
          </w:tcPr>
          <w:p>
            <w:pPr>
              <w:spacing w:before="40" w:after="40"/>
            </w:pPr>
            <w:r>
              <w:t xml:space="preserve">Deterministic scorecard plus a versioned decision model; the AI advises only</w:t>
            </w:r>
          </w:p>
        </w:tc>
      </w:tr>
      <w:tr>
        <w:tc>
          <w:tcPr>
            <w:tcW w:w="4513" w:type="dxa"/>
          </w:tcPr>
          <w:p>
            <w:pPr>
              <w:spacing w:before="40" w:after="40"/>
            </w:pPr>
            <w:r>
              <w:t xml:space="preserve">Cloud-style deployment implied</w:t>
            </w:r>
          </w:p>
        </w:tc>
        <w:tc>
          <w:tcPr>
            <w:tcW w:w="4513" w:type="dxa"/>
          </w:tcPr>
          <w:p>
            <w:pPr>
              <w:spacing w:before="40" w:after="40"/>
            </w:pPr>
            <w:r>
              <w:t xml:space="preserve">On-premises by default, no Docker; optional switch to Azure</w:t>
            </w:r>
          </w:p>
        </w:tc>
      </w:tr>
      <w:tr>
        <w:tc>
          <w:tcPr>
            <w:tcW w:w="4513" w:type="dxa"/>
          </w:tcPr>
          <w:p>
            <w:pPr>
              <w:spacing w:before="40" w:after="40"/>
            </w:pPr>
            <w:r>
              <w:t xml:space="preserve">No document questions</w:t>
            </w:r>
          </w:p>
        </w:tc>
        <w:tc>
          <w:tcPr>
            <w:tcW w:w="4513" w:type="dxa"/>
          </w:tcPr>
          <w:p>
            <w:pPr>
              <w:spacing w:before="40" w:after="40"/>
            </w:pPr>
            <w:r>
              <w:t xml:space="preserve">Guarded "Ask the document" Q&amp;A over a SQL Server vector store</w:t>
            </w:r>
          </w:p>
        </w:tc>
      </w:tr>
    </w:tbl>
    <w:p/>
    <w:p>
      <w:pPr>
        <w:keepNext/>
        <w:spacing w:before="200"/>
        <w:rPr>
          <w:b/>
          <w:bCs/>
        </w:rPr>
      </w:pPr>
      <w:r>
        <w:rPr>
          <w:b/>
          <w:bCs/>
        </w:rPr>
        <w:t xml:space="preserve">11. Open Items</w:t>
      </w:r>
    </w:p>
    <w:p>
      <w:pPr>
        <w:pStyle w:val="ListParagraph"/>
        <w:numPr>
          <w:ilvl w:val="0"/>
          <w:numId w:val="2"/>
        </w:numPr>
      </w:pPr>
      <w:r>
        <w:t xml:space="preserve">Confirm Microsoft Agent Framework workflow checkpointing and human-input features are generally available; otherwise use Semantic Kernel Process Framework.</w:t>
      </w:r>
    </w:p>
    <w:p>
      <w:pPr>
        <w:pStyle w:val="ListParagraph"/>
        <w:numPr>
          <w:ilvl w:val="0"/>
          <w:numId w:val="2"/>
        </w:numPr>
      </w:pPr>
      <w:r>
        <w:t xml:space="preserve">Confirm Foundry Local is licensed and suitable for shared server hosting, its hardware sizing, and that an embedding model is available on-premises.</w:t>
      </w:r>
    </w:p>
    <w:p>
      <w:pPr>
        <w:pStyle w:val="ListParagraph"/>
        <w:numPr>
          <w:ilvl w:val="0"/>
          <w:numId w:val="2"/>
        </w:numPr>
      </w:pPr>
      <w:r>
        <w:t xml:space="preserve">Confirm SQL Server 2025 licensing, availability and vector support in the editions used.</w:t>
      </w:r>
    </w:p>
    <w:p>
      <w:pPr>
        <w:pStyle w:val="ListParagraph"/>
        <w:numPr>
          <w:ilvl w:val="0"/>
          <w:numId w:val="2"/>
        </w:numPr>
      </w:pPr>
      <w:r>
        <w:t xml:space="preserve">Confirm the Foundry catalogue model names, regions and quota for the Azure deployment.</w:t>
      </w:r>
    </w:p>
    <w:p>
      <w:pPr>
        <w:pStyle w:val="ListParagraph"/>
        <w:numPr>
          <w:ilvl w:val="0"/>
          <w:numId w:val="2"/>
        </w:numPr>
      </w:pPr>
      <w:r>
        <w:t xml:space="preserve">Agree the decision-model thresholds, minimum confidence, and whether loan amount and exposure limits are needed as inputs.</w:t>
      </w:r>
    </w:p>
    <w:p>
      <w:pPr>
        <w:pStyle w:val="ListParagraph"/>
        <w:numPr>
          <w:ilvl w:val="0"/>
          <w:numId w:val="2"/>
        </w:numPr>
      </w:pPr>
      <w:r>
        <w:t xml:space="preserve">Decide the on-premises identity provider, underwriter approval limits, and audit retention and data-residency rules.</w:t>
      </w:r>
    </w:p>
    <w:p/>
    <w:sectPr w:rsidR="004D74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33185"/>
    <w:multiLevelType w:val="hybridMultilevel"/>
    <w:tmpl w:val="3FE24D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9159DE"/>
    <w:multiLevelType w:val="multilevel"/>
    <w:tmpl w:val="C404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F4CF8"/>
    <w:multiLevelType w:val="multilevel"/>
    <w:tmpl w:val="3230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F5FCB"/>
    <w:multiLevelType w:val="multilevel"/>
    <w:tmpl w:val="79E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14501"/>
    <w:multiLevelType w:val="multilevel"/>
    <w:tmpl w:val="EBCE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01B9E"/>
    <w:multiLevelType w:val="hybridMultilevel"/>
    <w:tmpl w:val="383006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0A14D50"/>
    <w:multiLevelType w:val="hybridMultilevel"/>
    <w:tmpl w:val="63D2CC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44360571">
    <w:abstractNumId w:val="1"/>
  </w:num>
  <w:num w:numId="2" w16cid:durableId="92896759">
    <w:abstractNumId w:val="2"/>
  </w:num>
  <w:num w:numId="3" w16cid:durableId="1828327349">
    <w:abstractNumId w:val="4"/>
  </w:num>
  <w:num w:numId="4" w16cid:durableId="931357217">
    <w:abstractNumId w:val="3"/>
  </w:num>
  <w:num w:numId="5" w16cid:durableId="116265121">
    <w:abstractNumId w:val="5"/>
  </w:num>
  <w:num w:numId="6" w16cid:durableId="629481317">
    <w:abstractNumId w:val="0"/>
  </w:num>
  <w:num w:numId="7" w16cid:durableId="1160198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DBB"/>
    <w:rsid w:val="000B122C"/>
    <w:rsid w:val="004D7419"/>
    <w:rsid w:val="005309B3"/>
    <w:rsid w:val="00785F44"/>
    <w:rsid w:val="008648A1"/>
    <w:rsid w:val="00C16C80"/>
    <w:rsid w:val="00ED0764"/>
    <w:rsid w:val="00F36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06F77"/>
  <w15:chartTrackingRefBased/>
  <w15:docId w15:val="{89642325-8F5F-47FA-AE34-363F809A8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D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D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D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D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D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D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D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D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D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D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DBB"/>
    <w:rPr>
      <w:rFonts w:eastAsiaTheme="majorEastAsia" w:cstheme="majorBidi"/>
      <w:color w:val="272727" w:themeColor="text1" w:themeTint="D8"/>
    </w:rPr>
  </w:style>
  <w:style w:type="paragraph" w:styleId="Title">
    <w:name w:val="Title"/>
    <w:basedOn w:val="Normal"/>
    <w:next w:val="Normal"/>
    <w:link w:val="TitleChar"/>
    <w:uiPriority w:val="10"/>
    <w:qFormat/>
    <w:rsid w:val="00F36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DBB"/>
    <w:pPr>
      <w:spacing w:before="160"/>
      <w:jc w:val="center"/>
    </w:pPr>
    <w:rPr>
      <w:i/>
      <w:iCs/>
      <w:color w:val="404040" w:themeColor="text1" w:themeTint="BF"/>
    </w:rPr>
  </w:style>
  <w:style w:type="character" w:customStyle="1" w:styleId="QuoteChar">
    <w:name w:val="Quote Char"/>
    <w:basedOn w:val="DefaultParagraphFont"/>
    <w:link w:val="Quote"/>
    <w:uiPriority w:val="29"/>
    <w:rsid w:val="00F36DBB"/>
    <w:rPr>
      <w:i/>
      <w:iCs/>
      <w:color w:val="404040" w:themeColor="text1" w:themeTint="BF"/>
    </w:rPr>
  </w:style>
  <w:style w:type="paragraph" w:styleId="ListParagraph">
    <w:name w:val="List Paragraph"/>
    <w:basedOn w:val="Normal"/>
    <w:uiPriority w:val="34"/>
    <w:qFormat/>
    <w:rsid w:val="00F36DBB"/>
    <w:pPr>
      <w:ind w:left="720"/>
      <w:contextualSpacing/>
    </w:pPr>
  </w:style>
  <w:style w:type="character" w:styleId="IntenseEmphasis">
    <w:name w:val="Intense Emphasis"/>
    <w:basedOn w:val="DefaultParagraphFont"/>
    <w:uiPriority w:val="21"/>
    <w:qFormat/>
    <w:rsid w:val="00F36DBB"/>
    <w:rPr>
      <w:i/>
      <w:iCs/>
      <w:color w:val="2F5496" w:themeColor="accent1" w:themeShade="BF"/>
    </w:rPr>
  </w:style>
  <w:style w:type="paragraph" w:styleId="IntenseQuote">
    <w:name w:val="Intense Quote"/>
    <w:basedOn w:val="Normal"/>
    <w:next w:val="Normal"/>
    <w:link w:val="IntenseQuoteChar"/>
    <w:uiPriority w:val="30"/>
    <w:qFormat/>
    <w:rsid w:val="00F36D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DBB"/>
    <w:rPr>
      <w:i/>
      <w:iCs/>
      <w:color w:val="2F5496" w:themeColor="accent1" w:themeShade="BF"/>
    </w:rPr>
  </w:style>
  <w:style w:type="character" w:styleId="IntenseReference">
    <w:name w:val="Intense Reference"/>
    <w:basedOn w:val="DefaultParagraphFont"/>
    <w:uiPriority w:val="32"/>
    <w:qFormat/>
    <w:rsid w:val="00F36D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subramaniam</dc:creator>
  <cp:keywords/>
  <dc:description/>
  <cp:lastModifiedBy>ganesh subramaniam</cp:lastModifiedBy>
  <cp:revision>2</cp:revision>
  <dcterms:created xsi:type="dcterms:W3CDTF">2026-10-18T02:31:00Z</dcterms:created>
  <dcterms:modified xsi:type="dcterms:W3CDTF">2026-10-18T03:20:00Z</dcterms:modified>
</cp:coreProperties>
</file>