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PROJECT REPORT</w:t>
      </w:r>
    </w:p>
    <w:p>
      <w:pPr>
        <w:spacing w:after="500" w:before="300"/>
        <w:jc w:val="center"/>
      </w:pPr>
      <w:r>
        <w:rPr>
          <w:b/>
          <w:bCs/>
          <w:color w:val="2E7D6B"/>
          <w:sz w:val="30"/>
          <w:szCs w:val="30"/>
        </w:rPr>
        <w:t xml:space="preserve">Survey on Digital Learning Tools Usage Among College Students</w:t>
      </w:r>
    </w:p>
    <w:p>
      <w:pPr>
        <w:spacing w:after="100" w:before="700"/>
        <w:jc w:val="center"/>
      </w:pPr>
      <w:r>
        <w:rPr>
          <w:i/>
          <w:iCs/>
          <w:color w:val="595959"/>
          <w:sz w:val="22"/>
          <w:szCs w:val="22"/>
        </w:rPr>
        <w:t xml:space="preserve">A Data Analysis Report — Pandas, NumPy, Matplotlib &amp; Seaborn</w:t>
      </w:r>
    </w:p>
    <w:p>
      <w:pPr>
        <w:spacing w:before="900"/>
        <w:jc w:val="center"/>
      </w:pPr>
      <w:r>
        <w:rPr>
          <w:b/>
          <w:bCs/>
          <w:sz w:val="24"/>
          <w:szCs w:val="24"/>
        </w:rPr>
        <w:t xml:space="preserve">Student Name : </w:t>
      </w:r>
      <w:r>
        <w:rPr>
          <w:sz w:val="24"/>
          <w:szCs w:val="24"/>
        </w:rPr>
        <w:t xml:space="preserve">Waghmare Ganesh Jalindar</w:t>
      </w:r>
    </w:p>
    <w:p>
      <w:pPr>
        <w:spacing w:before="160"/>
        <w:jc w:val="center"/>
      </w:pPr>
      <w:r>
        <w:rPr>
          <w:b/>
          <w:bCs/>
          <w:sz w:val="24"/>
          <w:szCs w:val="24"/>
        </w:rPr>
        <w:t xml:space="preserve">Class : </w:t>
      </w:r>
      <w:r>
        <w:rPr>
          <w:sz w:val="24"/>
          <w:szCs w:val="24"/>
        </w:rPr>
        <w:t xml:space="preserve">SY Data Science</w:t>
      </w:r>
    </w:p>
    <w:p>
      <w:pPr>
        <w:spacing w:before="160"/>
        <w:jc w:val="center"/>
      </w:pPr>
      <w:r>
        <w:rPr>
          <w:b/>
          <w:bCs/>
          <w:sz w:val="24"/>
          <w:szCs w:val="24"/>
        </w:rPr>
        <w:t xml:space="preserve">Mentor : </w:t>
      </w:r>
      <w:r>
        <w:rPr>
          <w:sz w:val="24"/>
          <w:szCs w:val="24"/>
        </w:rPr>
        <w:t xml:space="preserve">Arjana Shaikh</w:t>
      </w:r>
    </w:p>
    <w:p>
      <w:pPr>
        <w:spacing w:before="160"/>
        <w:jc w:val="center"/>
      </w:pPr>
      <w:r>
        <w:rPr>
          <w:b/>
          <w:bCs/>
          <w:sz w:val="24"/>
          <w:szCs w:val="24"/>
        </w:rPr>
        <w:t xml:space="preserve">Dataset : </w:t>
      </w:r>
      <w:r>
        <w:rPr>
          <w:sz w:val="24"/>
          <w:szCs w:val="24"/>
        </w:rPr>
        <w:t xml:space="preserve">survey_data.csv — 69 responses, 22 fields</w:t>
      </w:r>
    </w:p>
    <w:p>
      <w:pPr>
        <w:spacing w:before="1600"/>
        <w:jc w:val="center"/>
      </w:pPr>
      <w:r>
        <w:rPr>
          <w:color w:val="595959"/>
          <w:sz w:val="22"/>
          <w:szCs w:val="22"/>
        </w:rPr>
        <w:t xml:space="preserve">New Arts, Commerce and Science College, Ahmednagar</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F3864" w:sz="6" w:space="4"/>
        </w:pBdr>
        <w:spacing w:after="160" w:before="360"/>
      </w:pPr>
      <w:r>
        <w:rPr>
          <w:b/>
          <w:bCs/>
          <w:color w:val="1F3864"/>
        </w:rPr>
        <w:t xml:space="preserve">Step 1 — Introduction</w:t>
      </w:r>
    </w:p>
    <w:p>
      <w:pPr>
        <w:spacing w:after="160" w:line="276"/>
      </w:pPr>
      <w:r>
        <w:t xml:space="preserve">Digital technology has become an important part of modern education. College students increasingly use digital learning tools such as Google Classroom, YouTube, online learning platforms, educational applications, video conferencing tools, e-books, digital notes, and Artificial Intelligence-based tools to support their studies.</w:t>
      </w:r>
    </w:p>
    <w:p>
      <w:pPr>
        <w:spacing w:after="160" w:line="276"/>
      </w:pPr>
      <w:r>
        <w:t xml:space="preserve">These tools give students easy access to learning resources, flexible learning opportunities, quick information, and interactive educational content. However, excessive use of digital platforms may also create challenges such as distraction, technical problems, internet dependency, information overload, and difficulty in maintaining concentration.</w:t>
      </w:r>
    </w:p>
    <w:p>
      <w:pPr>
        <w:spacing w:after="160" w:line="276"/>
      </w:pPr>
      <w:r>
        <w:t xml:space="preserve">This project studies how college students use digital learning tools, how frequently they use them, why they use them, and how these tools influence their learning experience, academic performance, productivity, and understanding. A 20-question survey was circulated among students and 69 valid responses were collected and analyzed using Python (Pandas, NumPy, Matplotlib, Seaborn).</w:t>
      </w:r>
    </w:p>
    <w:p>
      <w:pPr>
        <w:pStyle w:val="Heading1"/>
        <w:pBdr>
          <w:bottom w:val="single" w:color="1F3864" w:sz="6" w:space="4"/>
        </w:pBdr>
        <w:spacing w:after="160" w:before="360"/>
      </w:pPr>
      <w:r>
        <w:rPr>
          <w:b/>
          <w:bCs/>
          <w:color w:val="1F3864"/>
        </w:rPr>
        <w:t xml:space="preserve">Step 2 — Problem Statement</w:t>
      </w:r>
    </w:p>
    <w:p>
      <w:pPr>
        <w:spacing w:after="160" w:line="276"/>
      </w:pPr>
      <w:r>
        <w:t xml:space="preserve">College students use a variety of digital learning tools for academic purposes, but their usage patterns and experiences differ from student to student. The study addresses the following questions:</w:t>
      </w:r>
    </w:p>
    <w:p>
      <w:pPr>
        <w:pStyle w:val="ListParagraph"/>
        <w:numPr>
          <w:ilvl w:val="0"/>
          <w:numId w:val="1"/>
        </w:numPr>
        <w:spacing w:after="80"/>
      </w:pPr>
      <w:r>
        <w:t xml:space="preserve">Which digital learning tools are commonly used by college students?</w:t>
      </w:r>
    </w:p>
    <w:p>
      <w:pPr>
        <w:pStyle w:val="ListParagraph"/>
        <w:numPr>
          <w:ilvl w:val="0"/>
          <w:numId w:val="1"/>
        </w:numPr>
        <w:spacing w:after="80"/>
      </w:pPr>
      <w:r>
        <w:t xml:space="preserve">How frequently do students use these tools?</w:t>
      </w:r>
    </w:p>
    <w:p>
      <w:pPr>
        <w:pStyle w:val="ListParagraph"/>
        <w:numPr>
          <w:ilvl w:val="0"/>
          <w:numId w:val="1"/>
        </w:numPr>
        <w:spacing w:after="80"/>
      </w:pPr>
      <w:r>
        <w:t xml:space="preserve">What are the major purposes of using digital learning tools?</w:t>
      </w:r>
    </w:p>
    <w:p>
      <w:pPr>
        <w:pStyle w:val="ListParagraph"/>
        <w:numPr>
          <w:ilvl w:val="0"/>
          <w:numId w:val="1"/>
        </w:numPr>
        <w:spacing w:after="80"/>
      </w:pPr>
      <w:r>
        <w:t xml:space="preserve">Do students believe digital tools improve their academic performance?</w:t>
      </w:r>
    </w:p>
    <w:p>
      <w:pPr>
        <w:pStyle w:val="ListParagraph"/>
        <w:numPr>
          <w:ilvl w:val="0"/>
          <w:numId w:val="1"/>
        </w:numPr>
        <w:spacing w:after="80"/>
      </w:pPr>
      <w:r>
        <w:t xml:space="preserve">How do digital tools affect students' productivity and understanding?</w:t>
      </w:r>
    </w:p>
    <w:p>
      <w:pPr>
        <w:pStyle w:val="ListParagraph"/>
        <w:numPr>
          <w:ilvl w:val="0"/>
          <w:numId w:val="1"/>
        </w:numPr>
        <w:spacing w:after="80"/>
      </w:pPr>
      <w:r>
        <w:t xml:space="preserve">What difficulties or challenges do students face while using these tools?</w:t>
      </w:r>
    </w:p>
    <w:p>
      <w:pPr>
        <w:pStyle w:val="Heading1"/>
        <w:pBdr>
          <w:bottom w:val="single" w:color="1F3864" w:sz="6" w:space="4"/>
        </w:pBdr>
        <w:spacing w:after="160" w:before="360"/>
      </w:pPr>
      <w:r>
        <w:rPr>
          <w:b/>
          <w:bCs/>
          <w:color w:val="1F3864"/>
        </w:rPr>
        <w:t xml:space="preserve">Step 3 — Objectives of the Study</w:t>
      </w:r>
    </w:p>
    <w:p>
      <w:pPr>
        <w:pStyle w:val="ListParagraph"/>
        <w:numPr>
          <w:ilvl w:val="0"/>
          <w:numId w:val="2"/>
        </w:numPr>
        <w:spacing w:after="80"/>
      </w:pPr>
      <w:r>
        <w:t xml:space="preserve">To identify the digital learning tools commonly used by college students.</w:t>
      </w:r>
    </w:p>
    <w:p>
      <w:pPr>
        <w:pStyle w:val="ListParagraph"/>
        <w:numPr>
          <w:ilvl w:val="0"/>
          <w:numId w:val="2"/>
        </w:numPr>
        <w:spacing w:after="80"/>
      </w:pPr>
      <w:r>
        <w:t xml:space="preserve">To study the frequency of digital learning tool usage.</w:t>
      </w:r>
    </w:p>
    <w:p>
      <w:pPr>
        <w:pStyle w:val="ListParagraph"/>
        <w:numPr>
          <w:ilvl w:val="0"/>
          <w:numId w:val="2"/>
        </w:numPr>
        <w:spacing w:after="80"/>
      </w:pPr>
      <w:r>
        <w:t xml:space="preserve">To understand the major purposes for which students use digital learning tools.</w:t>
      </w:r>
    </w:p>
    <w:p>
      <w:pPr>
        <w:pStyle w:val="ListParagraph"/>
        <w:numPr>
          <w:ilvl w:val="0"/>
          <w:numId w:val="2"/>
        </w:numPr>
        <w:spacing w:after="80"/>
      </w:pPr>
      <w:r>
        <w:t xml:space="preserve">To analyze students' perceptions regarding the usefulness of digital learning tools.</w:t>
      </w:r>
    </w:p>
    <w:p>
      <w:pPr>
        <w:pStyle w:val="ListParagraph"/>
        <w:numPr>
          <w:ilvl w:val="0"/>
          <w:numId w:val="2"/>
        </w:numPr>
        <w:spacing w:after="80"/>
      </w:pPr>
      <w:r>
        <w:t xml:space="preserve">To study the impact of digital learning tools on academic performance.</w:t>
      </w:r>
    </w:p>
    <w:p>
      <w:pPr>
        <w:pStyle w:val="ListParagraph"/>
        <w:numPr>
          <w:ilvl w:val="0"/>
          <w:numId w:val="2"/>
        </w:numPr>
        <w:spacing w:after="80"/>
      </w:pPr>
      <w:r>
        <w:t xml:space="preserve">To examine the effect of digital tools on students' productivity and understanding.</w:t>
      </w:r>
    </w:p>
    <w:p>
      <w:pPr>
        <w:pStyle w:val="ListParagraph"/>
        <w:numPr>
          <w:ilvl w:val="0"/>
          <w:numId w:val="2"/>
        </w:numPr>
        <w:spacing w:after="80"/>
      </w:pPr>
      <w:r>
        <w:t xml:space="preserve">To identify the major challenges faced by students while using digital learning tools.</w:t>
      </w:r>
    </w:p>
    <w:p>
      <w:pPr>
        <w:pStyle w:val="ListParagraph"/>
        <w:numPr>
          <w:ilvl w:val="0"/>
          <w:numId w:val="2"/>
        </w:numPr>
        <w:spacing w:after="80"/>
      </w:pPr>
      <w:r>
        <w:t xml:space="preserve">To analyze students' overall satisfaction with digital learning tools.</w:t>
      </w:r>
    </w:p>
    <w:p>
      <w:pPr>
        <w:pStyle w:val="ListParagraph"/>
        <w:numPr>
          <w:ilvl w:val="0"/>
          <w:numId w:val="2"/>
        </w:numPr>
        <w:spacing w:after="80"/>
      </w:pPr>
      <w:r>
        <w:t xml:space="preserve">To provide useful insights for improving the use of digital technology in education.</w:t>
      </w:r>
    </w:p>
    <w:p>
      <w:pPr>
        <w:pStyle w:val="Heading1"/>
        <w:pBdr>
          <w:bottom w:val="single" w:color="1F3864" w:sz="6" w:space="4"/>
        </w:pBdr>
        <w:spacing w:after="160" w:before="360"/>
      </w:pPr>
      <w:r>
        <w:rPr>
          <w:b/>
          <w:bCs/>
          <w:color w:val="1F3864"/>
        </w:rPr>
        <w:t xml:space="preserve">Step 4 — Scope of the Study</w:t>
      </w:r>
    </w:p>
    <w:p>
      <w:pPr>
        <w:spacing w:after="160" w:line="276"/>
      </w:pPr>
      <w:r>
        <w:t xml:space="preserve">The study focuses on college students and their use of digital learning tools for educational purposes, covering digital platform usage, online classes, YouTube and educational videos, Google Classroom, e-books, educational apps, AI-based tools, frequency of use, academic performance and productivity, learning experience, and problems related to digital learning. The collected responses were analyzed to identify patterns and trends among college students.</w:t>
      </w:r>
    </w:p>
    <w:p>
      <w:pPr>
        <w:pStyle w:val="Heading1"/>
        <w:pBdr>
          <w:bottom w:val="single" w:color="1F3864" w:sz="6" w:space="4"/>
        </w:pBdr>
        <w:spacing w:after="160" w:before="360"/>
      </w:pPr>
      <w:r>
        <w:rPr>
          <w:b/>
          <w:bCs/>
          <w:color w:val="1F3864"/>
        </w:rPr>
        <w:t xml:space="preserve">Step 5 — Research Methodology</w:t>
      </w:r>
    </w:p>
    <w:p>
      <w:pPr>
        <w:pStyle w:val="Heading2"/>
        <w:spacing w:after="120" w:before="260"/>
      </w:pPr>
      <w:r>
        <w:rPr>
          <w:b/>
          <w:bCs/>
          <w:color w:val="2E7D6B"/>
        </w:rPr>
        <w:t xml:space="preserve">5.1  Research Design</w:t>
      </w:r>
    </w:p>
    <w:p>
      <w:pPr>
        <w:spacing w:after="160" w:line="276"/>
      </w:pPr>
      <w:r>
        <w:t xml:space="preserve">A descriptive survey research design was used to collect information about the usage and experiences of college students with digital learning tools.</w:t>
      </w:r>
    </w:p>
    <w:p>
      <w:pPr>
        <w:pStyle w:val="Heading2"/>
        <w:spacing w:after="120" w:before="260"/>
      </w:pPr>
      <w:r>
        <w:rPr>
          <w:b/>
          <w:bCs/>
          <w:color w:val="2E7D6B"/>
        </w:rPr>
        <w:t xml:space="preserve">5.2  Data Collection</w:t>
      </w:r>
    </w:p>
    <w:p>
      <w:pPr>
        <w:spacing w:after="160" w:line="276"/>
      </w:pPr>
      <w:r>
        <w:t xml:space="preserve">Primary data was collected through an online questionnaire (Google Forms). The questionnaire captured 22 fields per respondent — demographic details (age, gender, year of study), digital learning tool usage, frequency and duration of usage, purposes of usage, perceived benefits and advantages, accuracy/trust in the tools, overall experience, cost perception versus offline learning, and challenges faced.</w:t>
      </w:r>
    </w:p>
    <w:p>
      <w:pPr>
        <w:pStyle w:val="Heading2"/>
        <w:spacing w:after="120" w:before="260"/>
      </w:pPr>
      <w:r>
        <w:rPr>
          <w:b/>
          <w:bCs/>
          <w:color w:val="2E7D6B"/>
        </w:rPr>
        <w:t xml:space="preserve">5.3  Target Population &amp; Sampling</w:t>
      </w:r>
    </w:p>
    <w:p>
      <w:pPr>
        <w:spacing w:after="160" w:line="276"/>
      </w:pPr>
      <w:r>
        <w:t xml:space="preserve">The target population was college students. A convenience (non-probability) online sampling approach was used, based on the availability and willingness of respondents to participate. A total of 69 responses were collected.</w:t>
      </w:r>
    </w:p>
    <w:p>
      <w:pPr>
        <w:pStyle w:val="Heading2"/>
        <w:spacing w:after="120" w:before="260"/>
      </w:pPr>
      <w:r>
        <w:rPr>
          <w:b/>
          <w:bCs/>
          <w:color w:val="2E7D6B"/>
        </w:rPr>
        <w:t xml:space="preserve">5.4  Tools Used for Analysis</w:t>
      </w:r>
    </w:p>
    <w:p>
      <w:pPr>
        <w:spacing w:after="160" w:line="276"/>
      </w:pPr>
      <w:r>
        <w:t xml:space="preserve">The raw data (CSV export from the Google Form) was cleaned and analyzed in a Jupyter notebook using:</w:t>
      </w:r>
    </w:p>
    <w:p>
      <w:pPr>
        <w:pStyle w:val="ListParagraph"/>
        <w:numPr>
          <w:ilvl w:val="0"/>
          <w:numId w:val="1"/>
        </w:numPr>
        <w:spacing w:after="80"/>
      </w:pPr>
      <w:r>
        <w:t xml:space="preserve">Pandas &amp; NumPy — data cleaning, reshaping and descriptive statistics</w:t>
      </w:r>
    </w:p>
    <w:p>
      <w:pPr>
        <w:pStyle w:val="ListParagraph"/>
        <w:numPr>
          <w:ilvl w:val="0"/>
          <w:numId w:val="1"/>
        </w:numPr>
        <w:spacing w:after="80"/>
      </w:pPr>
      <w:r>
        <w:t xml:space="preserve">Matplotlib &amp; Seaborn — bar charts, pie charts, histograms, correlation heatmap</w:t>
      </w:r>
    </w:p>
    <w:p>
      <w:pPr>
        <w:pStyle w:val="ListParagraph"/>
        <w:numPr>
          <w:ilvl w:val="0"/>
          <w:numId w:val="1"/>
        </w:numPr>
        <w:spacing w:after="80"/>
      </w:pPr>
      <w:r>
        <w:t xml:space="preserve">Frequency, percentage, cross-tabulation, and correlation analysis</w:t>
      </w:r>
    </w:p>
    <w:p>
      <w:pPr>
        <w:pStyle w:val="Heading1"/>
        <w:pBdr>
          <w:bottom w:val="single" w:color="1F3864" w:sz="6" w:space="4"/>
        </w:pBdr>
        <w:spacing w:after="160" w:before="360"/>
      </w:pPr>
      <w:r>
        <w:rPr>
          <w:b/>
          <w:bCs/>
          <w:color w:val="1F3864"/>
        </w:rPr>
        <w:t xml:space="preserve">Step 6 — Data Cleaning &amp; Preparation</w:t>
      </w:r>
    </w:p>
    <w:p>
      <w:pPr>
        <w:spacing w:after="160" w:line="276"/>
      </w:pPr>
      <w:r>
        <w:t xml:space="preserve">Before analysis, the following cleaning steps were carried out on the raw survey export:</w:t>
      </w:r>
    </w:p>
    <w:p>
      <w:pPr>
        <w:pStyle w:val="ListParagraph"/>
        <w:numPr>
          <w:ilvl w:val="0"/>
          <w:numId w:val="2"/>
        </w:numPr>
        <w:spacing w:after="80"/>
      </w:pPr>
      <w:r>
        <w:t xml:space="preserve">Column headers were stripped of extra whitespace and renamed to short, code-friendly names (e.g. "7. How frequently do you use digital learning tools?" → frequency).</w:t>
      </w:r>
    </w:p>
    <w:p>
      <w:pPr>
        <w:pStyle w:val="ListParagraph"/>
        <w:numPr>
          <w:ilvl w:val="0"/>
          <w:numId w:val="2"/>
        </w:numPr>
        <w:spacing w:after="80"/>
      </w:pPr>
      <w:r>
        <w:t xml:space="preserve">The respondent's name column was removed from the analysis dataset to protect personal identifiable information (PII).</w:t>
      </w:r>
    </w:p>
    <w:p>
      <w:pPr>
        <w:pStyle w:val="ListParagraph"/>
        <w:numPr>
          <w:ilvl w:val="0"/>
          <w:numId w:val="2"/>
        </w:numPr>
        <w:spacing w:after="80"/>
      </w:pPr>
      <w:r>
        <w:t xml:space="preserve">Text values such as "SY Data science (others)" were cleaned by stripping the "(others)" suffix added by the form.</w:t>
      </w:r>
    </w:p>
    <w:p>
      <w:pPr>
        <w:pStyle w:val="ListParagraph"/>
        <w:numPr>
          <w:ilvl w:val="0"/>
          <w:numId w:val="2"/>
        </w:numPr>
        <w:spacing w:after="80"/>
      </w:pPr>
      <w:r>
        <w:t xml:space="preserve">The dataset was checked for missing values — none were found across the 22 fields.</w:t>
      </w:r>
    </w:p>
    <w:p>
      <w:pPr>
        <w:pStyle w:val="ListParagraph"/>
        <w:numPr>
          <w:ilvl w:val="0"/>
          <w:numId w:val="2"/>
        </w:numPr>
        <w:spacing w:after="80"/>
      </w:pPr>
      <w:r>
        <w:t xml:space="preserve">The dataset was checked for duplicate responses — 1 duplicate row was identified (based on all fields except serial number and submission time).</w:t>
      </w:r>
    </w:p>
    <w:p>
      <w:pPr>
        <w:pStyle w:val="ListParagraph"/>
        <w:numPr>
          <w:ilvl w:val="0"/>
          <w:numId w:val="2"/>
        </w:numPr>
        <w:spacing w:after="80"/>
      </w:pPr>
      <w:r>
        <w:t xml:space="preserve">Multi-select fields (tools used, most useful tools, main benefit) were stored as pipe-separated ("|") strings and were split and re-counted individually so that a student selecting three tools contributes to all three counts.</w:t>
      </w:r>
    </w:p>
    <w:p>
      <w:pPr>
        <w:pStyle w:val="ListParagraph"/>
        <w:numPr>
          <w:ilvl w:val="0"/>
          <w:numId w:val="2"/>
        </w:numPr>
        <w:spacing w:after="80"/>
      </w:pPr>
      <w:r>
        <w:t xml:space="preserve">Ordinal fields (frequency, helpfulness, accuracy rating, overall experience) were mapped to numeric scores (e.g. Rarely = 1 … Daily = 5) to allow correlation analysis.</w:t>
      </w:r>
    </w:p>
    <w:p>
      <w:pPr>
        <w:spacing w:after="160" w:line="276"/>
      </w:pPr>
      <w:r>
        <w:t xml:space="preserve">The cleaned dataset (df_analysis) contains 69 respondents and 21 analysis fields, and was exported as ganesh.csv for reuse.</w:t>
      </w:r>
    </w:p>
    <w:p>
      <w:pPr>
        <w:pStyle w:val="Heading1"/>
        <w:pBdr>
          <w:bottom w:val="single" w:color="1F3864" w:sz="6" w:space="4"/>
        </w:pBdr>
        <w:spacing w:after="160" w:before="360"/>
      </w:pPr>
      <w:r>
        <w:rPr>
          <w:b/>
          <w:bCs/>
          <w:color w:val="1F3864"/>
        </w:rPr>
        <w:t xml:space="preserve">Step 7 — Respondent Profile (Demographic Analysis)</w:t>
      </w:r>
    </w:p>
    <w:p>
      <w:pPr>
        <w:spacing w:after="160" w:line="276"/>
      </w:pPr>
      <w:r>
        <w:t xml:space="preserve">The sample of 69 respondents was analyzed for age, gender and year/course of study.</w:t>
      </w:r>
    </w:p>
    <w:p>
      <w:pPr>
        <w:spacing w:after="120" w:before="120"/>
        <w:jc w:val="center"/>
      </w:pPr>
      <w:r>
        <w:drawing>
          <wp:inline distT="0" distB="0" distL="0" distR="0">
            <wp:extent cx="40767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76700" cy="2600325"/>
                    </a:xfrm>
                    <a:prstGeom prst="rect">
                      <a:avLst/>
                    </a:prstGeom>
                  </pic:spPr>
                </pic:pic>
              </a:graphicData>
            </a:graphic>
          </wp:inline>
        </w:drawing>
      </w:r>
    </w:p>
    <w:p>
      <w:pPr>
        <w:spacing w:after="240"/>
        <w:jc w:val="center"/>
      </w:pPr>
      <w:r>
        <w:rPr>
          <w:i/>
          <w:iCs/>
          <w:color w:val="595959"/>
          <w:sz w:val="18"/>
          <w:szCs w:val="18"/>
        </w:rPr>
        <w:t xml:space="preserve">Fig. 1 — Age distribution of respondents (mean = 19.9 years, median = 19, std. dev. = 1.87, range 18–26).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20"/>
              <w:bottom w:type="dxa" w:w="80"/>
              <w:right w:type="dxa" w:w="120"/>
            </w:tcMar>
          </w:tcPr>
          <w:p>
            <w:pPr>
              <w:jc w:val="center"/>
            </w:pPr>
            <w:r>
              <w:rPr>
                <w:b/>
                <w:bCs/>
                <w:color w:val="FFFFFF"/>
                <w:sz w:val="20"/>
                <w:szCs w:val="20"/>
              </w:rPr>
              <w:t xml:space="preserve">Statistic</w:t>
            </w:r>
          </w:p>
        </w:tc>
        <w:tc>
          <w:tcPr>
            <w:tcW w:type="dxa" w:w="4500"/>
            <w:shd w:fill="1F3864" w:val="clear"/>
            <w:tcMar>
              <w:top w:type="dxa" w:w="80"/>
              <w:left w:type="dxa" w:w="120"/>
              <w:bottom w:type="dxa" w:w="80"/>
              <w:right w:type="dxa" w:w="120"/>
            </w:tcMar>
          </w:tcPr>
          <w:p>
            <w:pPr>
              <w:jc w:val="center"/>
            </w:pPr>
            <w:r>
              <w:rPr>
                <w:b/>
                <w:bCs/>
                <w:color w:val="FFFFFF"/>
                <w:sz w:val="20"/>
                <w:szCs w:val="20"/>
              </w:rPr>
              <w:t xml:space="preserve">Value</w:t>
            </w:r>
          </w:p>
        </w:tc>
      </w:tr>
      <w:tr>
        <w:tc>
          <w:tcPr>
            <w:tcW w:type="dxa" w:w="4500"/>
            <w:tcMar>
              <w:top w:type="dxa" w:w="80"/>
              <w:left w:type="dxa" w:w="120"/>
              <w:bottom w:type="dxa" w:w="80"/>
              <w:right w:type="dxa" w:w="120"/>
            </w:tcMar>
          </w:tcPr>
          <w:p>
            <w:pPr>
              <w:jc w:val="left"/>
            </w:pPr>
            <w:r>
              <w:rPr>
                <w:b w:val="false"/>
                <w:bCs w:val="false"/>
                <w:color w:val="000000"/>
                <w:sz w:val="20"/>
                <w:szCs w:val="20"/>
              </w:rPr>
              <w:t xml:space="preserve">Count</w:t>
            </w:r>
          </w:p>
        </w:tc>
        <w:tc>
          <w:tcPr>
            <w:tcW w:type="dxa" w:w="4500"/>
            <w:tcMar>
              <w:top w:type="dxa" w:w="80"/>
              <w:left w:type="dxa" w:w="120"/>
              <w:bottom w:type="dxa" w:w="80"/>
              <w:right w:type="dxa" w:w="120"/>
            </w:tcMar>
          </w:tcPr>
          <w:p>
            <w:pPr>
              <w:jc w:val="center"/>
            </w:pPr>
            <w:r>
              <w:rPr>
                <w:b w:val="false"/>
                <w:bCs w:val="false"/>
                <w:color w:val="000000"/>
                <w:sz w:val="20"/>
                <w:szCs w:val="20"/>
              </w:rPr>
              <w:t xml:space="preserve">69</w:t>
            </w:r>
          </w:p>
        </w:tc>
      </w:tr>
      <w:tr>
        <w:tc>
          <w:tcPr>
            <w:tcW w:type="dxa" w:w="4500"/>
            <w:shd w:fill="F2F2F2" w:val="clear"/>
            <w:tcMar>
              <w:top w:type="dxa" w:w="80"/>
              <w:left w:type="dxa" w:w="120"/>
              <w:bottom w:type="dxa" w:w="80"/>
              <w:right w:type="dxa" w:w="120"/>
            </w:tcMar>
          </w:tcPr>
          <w:p>
            <w:pPr>
              <w:jc w:val="left"/>
            </w:pPr>
            <w:r>
              <w:rPr>
                <w:b w:val="false"/>
                <w:bCs w:val="false"/>
                <w:color w:val="000000"/>
                <w:sz w:val="20"/>
                <w:szCs w:val="20"/>
              </w:rPr>
              <w:t xml:space="preserve">Mean age</w:t>
            </w:r>
          </w:p>
        </w:tc>
        <w:tc>
          <w:tcPr>
            <w:tcW w:type="dxa" w:w="4500"/>
            <w:shd w:fill="F2F2F2" w:val="clear"/>
            <w:tcMar>
              <w:top w:type="dxa" w:w="80"/>
              <w:left w:type="dxa" w:w="120"/>
              <w:bottom w:type="dxa" w:w="80"/>
              <w:right w:type="dxa" w:w="120"/>
            </w:tcMar>
          </w:tcPr>
          <w:p>
            <w:pPr>
              <w:jc w:val="center"/>
            </w:pPr>
            <w:r>
              <w:rPr>
                <w:b w:val="false"/>
                <w:bCs w:val="false"/>
                <w:color w:val="000000"/>
                <w:sz w:val="20"/>
                <w:szCs w:val="20"/>
              </w:rPr>
              <w:t xml:space="preserve">19.93 years</w:t>
            </w:r>
          </w:p>
        </w:tc>
      </w:tr>
      <w:tr>
        <w:tc>
          <w:tcPr>
            <w:tcW w:type="dxa" w:w="4500"/>
            <w:tcMar>
              <w:top w:type="dxa" w:w="80"/>
              <w:left w:type="dxa" w:w="120"/>
              <w:bottom w:type="dxa" w:w="80"/>
              <w:right w:type="dxa" w:w="120"/>
            </w:tcMar>
          </w:tcPr>
          <w:p>
            <w:pPr>
              <w:jc w:val="left"/>
            </w:pPr>
            <w:r>
              <w:rPr>
                <w:b w:val="false"/>
                <w:bCs w:val="false"/>
                <w:color w:val="000000"/>
                <w:sz w:val="20"/>
                <w:szCs w:val="20"/>
              </w:rPr>
              <w:t xml:space="preserve">Median age</w:t>
            </w:r>
          </w:p>
        </w:tc>
        <w:tc>
          <w:tcPr>
            <w:tcW w:type="dxa" w:w="4500"/>
            <w:tcMar>
              <w:top w:type="dxa" w:w="80"/>
              <w:left w:type="dxa" w:w="120"/>
              <w:bottom w:type="dxa" w:w="80"/>
              <w:right w:type="dxa" w:w="120"/>
            </w:tcMar>
          </w:tcPr>
          <w:p>
            <w:pPr>
              <w:jc w:val="center"/>
            </w:pPr>
            <w:r>
              <w:rPr>
                <w:b w:val="false"/>
                <w:bCs w:val="false"/>
                <w:color w:val="000000"/>
                <w:sz w:val="20"/>
                <w:szCs w:val="20"/>
              </w:rPr>
              <w:t xml:space="preserve">19.0 years</w:t>
            </w:r>
          </w:p>
        </w:tc>
      </w:tr>
      <w:tr>
        <w:tc>
          <w:tcPr>
            <w:tcW w:type="dxa" w:w="4500"/>
            <w:shd w:fill="F2F2F2" w:val="clear"/>
            <w:tcMar>
              <w:top w:type="dxa" w:w="80"/>
              <w:left w:type="dxa" w:w="120"/>
              <w:bottom w:type="dxa" w:w="80"/>
              <w:right w:type="dxa" w:w="120"/>
            </w:tcMar>
          </w:tcPr>
          <w:p>
            <w:pPr>
              <w:jc w:val="left"/>
            </w:pPr>
            <w:r>
              <w:rPr>
                <w:b w:val="false"/>
                <w:bCs w:val="false"/>
                <w:color w:val="000000"/>
                <w:sz w:val="20"/>
                <w:szCs w:val="20"/>
              </w:rPr>
              <w:t xml:space="preserve">Std. deviation</w:t>
            </w:r>
          </w:p>
        </w:tc>
        <w:tc>
          <w:tcPr>
            <w:tcW w:type="dxa" w:w="4500"/>
            <w:shd w:fill="F2F2F2" w:val="clear"/>
            <w:tcMar>
              <w:top w:type="dxa" w:w="80"/>
              <w:left w:type="dxa" w:w="120"/>
              <w:bottom w:type="dxa" w:w="80"/>
              <w:right w:type="dxa" w:w="120"/>
            </w:tcMar>
          </w:tcPr>
          <w:p>
            <w:pPr>
              <w:jc w:val="center"/>
            </w:pPr>
            <w:r>
              <w:rPr>
                <w:b w:val="false"/>
                <w:bCs w:val="false"/>
                <w:color w:val="000000"/>
                <w:sz w:val="20"/>
                <w:szCs w:val="20"/>
              </w:rPr>
              <w:t xml:space="preserve">1.87</w:t>
            </w:r>
          </w:p>
        </w:tc>
      </w:tr>
      <w:tr>
        <w:tc>
          <w:tcPr>
            <w:tcW w:type="dxa" w:w="4500"/>
            <w:tcMar>
              <w:top w:type="dxa" w:w="80"/>
              <w:left w:type="dxa" w:w="120"/>
              <w:bottom w:type="dxa" w:w="80"/>
              <w:right w:type="dxa" w:w="120"/>
            </w:tcMar>
          </w:tcPr>
          <w:p>
            <w:pPr>
              <w:jc w:val="left"/>
            </w:pPr>
            <w:r>
              <w:rPr>
                <w:b w:val="false"/>
                <w:bCs w:val="false"/>
                <w:color w:val="000000"/>
                <w:sz w:val="20"/>
                <w:szCs w:val="20"/>
              </w:rPr>
              <w:t xml:space="preserve">Minimum</w:t>
            </w:r>
          </w:p>
        </w:tc>
        <w:tc>
          <w:tcPr>
            <w:tcW w:type="dxa" w:w="4500"/>
            <w:tcMar>
              <w:top w:type="dxa" w:w="80"/>
              <w:left w:type="dxa" w:w="120"/>
              <w:bottom w:type="dxa" w:w="80"/>
              <w:right w:type="dxa" w:w="120"/>
            </w:tcMar>
          </w:tcPr>
          <w:p>
            <w:pPr>
              <w:jc w:val="center"/>
            </w:pPr>
            <w:r>
              <w:rPr>
                <w:b w:val="false"/>
                <w:bCs w:val="false"/>
                <w:color w:val="000000"/>
                <w:sz w:val="20"/>
                <w:szCs w:val="20"/>
              </w:rPr>
              <w:t xml:space="preserve">18</w:t>
            </w:r>
          </w:p>
        </w:tc>
      </w:tr>
      <w:tr>
        <w:tc>
          <w:tcPr>
            <w:tcW w:type="dxa" w:w="4500"/>
            <w:shd w:fill="F2F2F2" w:val="clear"/>
            <w:tcMar>
              <w:top w:type="dxa" w:w="80"/>
              <w:left w:type="dxa" w:w="120"/>
              <w:bottom w:type="dxa" w:w="80"/>
              <w:right w:type="dxa" w:w="120"/>
            </w:tcMar>
          </w:tcPr>
          <w:p>
            <w:pPr>
              <w:jc w:val="left"/>
            </w:pPr>
            <w:r>
              <w:rPr>
                <w:b w:val="false"/>
                <w:bCs w:val="false"/>
                <w:color w:val="000000"/>
                <w:sz w:val="20"/>
                <w:szCs w:val="20"/>
              </w:rPr>
              <w:t xml:space="preserve">Maximum</w:t>
            </w:r>
          </w:p>
        </w:tc>
        <w:tc>
          <w:tcPr>
            <w:tcW w:type="dxa" w:w="4500"/>
            <w:shd w:fill="F2F2F2" w:val="clear"/>
            <w:tcMar>
              <w:top w:type="dxa" w:w="80"/>
              <w:left w:type="dxa" w:w="120"/>
              <w:bottom w:type="dxa" w:w="80"/>
              <w:right w:type="dxa" w:w="120"/>
            </w:tcMar>
          </w:tcPr>
          <w:p>
            <w:pPr>
              <w:jc w:val="center"/>
            </w:pPr>
            <w:r>
              <w:rPr>
                <w:b w:val="false"/>
                <w:bCs w:val="false"/>
                <w:color w:val="000000"/>
                <w:sz w:val="20"/>
                <w:szCs w:val="20"/>
              </w:rPr>
              <w:t xml:space="preserve">26</w:t>
            </w:r>
          </w:p>
        </w:tc>
      </w:tr>
    </w:tbl>
    <w:p>
      <w:pPr>
        <w:spacing w:before="240"/>
      </w:pPr>
    </w:p>
    <w:p>
      <w:pPr>
        <w:spacing w:after="120" w:before="120"/>
        <w:jc w:val="center"/>
      </w:pPr>
      <w:r>
        <w:drawing>
          <wp:inline distT="0" distB="0" distL="0" distR="0">
            <wp:extent cx="2667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809875"/>
                    </a:xfrm>
                    <a:prstGeom prst="rect">
                      <a:avLst/>
                    </a:prstGeom>
                  </pic:spPr>
                </pic:pic>
              </a:graphicData>
            </a:graphic>
          </wp:inline>
        </w:drawing>
      </w:r>
    </w:p>
    <w:p>
      <w:pPr>
        <w:spacing w:after="240"/>
        <w:jc w:val="center"/>
      </w:pPr>
      <w:r>
        <w:rPr>
          <w:i/>
          <w:iCs/>
          <w:color w:val="595959"/>
          <w:sz w:val="18"/>
          <w:szCs w:val="18"/>
        </w:rPr>
        <w:t xml:space="preserve">Fig. 2 — Gender distribution: Male 66.7% (46), Female 31.9% (22), Other 1.4% (1).</w:t>
      </w:r>
    </w:p>
    <w:p>
      <w:pPr>
        <w:spacing w:after="120" w:before="120"/>
        <w:jc w:val="center"/>
      </w:pPr>
      <w:r>
        <w:drawing>
          <wp:inline distT="0" distB="0" distL="0" distR="0">
            <wp:extent cx="461962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19625" cy="2600325"/>
                    </a:xfrm>
                    <a:prstGeom prst="rect">
                      <a:avLst/>
                    </a:prstGeom>
                  </pic:spPr>
                </pic:pic>
              </a:graphicData>
            </a:graphic>
          </wp:inline>
        </w:drawing>
      </w:r>
    </w:p>
    <w:p>
      <w:pPr>
        <w:spacing w:after="240"/>
        <w:jc w:val="center"/>
      </w:pPr>
      <w:r>
        <w:rPr>
          <w:i/>
          <w:iCs/>
          <w:color w:val="595959"/>
          <w:sz w:val="18"/>
          <w:szCs w:val="18"/>
        </w:rPr>
        <w:t xml:space="preserve">Fig. 3 — Respondents by year/course of study. Most respondents are from SY Data Science (31), followed by SY Computer Science (9) and TY Computer Science (8); the remaining respondents are spread across 17 other courses/years.</w:t>
      </w:r>
    </w:p>
    <w:p>
      <w:pPr>
        <w:pStyle w:val="Heading1"/>
        <w:pBdr>
          <w:bottom w:val="single" w:color="1F3864" w:sz="6" w:space="4"/>
        </w:pBdr>
        <w:spacing w:after="160" w:before="360"/>
      </w:pPr>
      <w:r>
        <w:rPr>
          <w:b/>
          <w:bCs/>
          <w:color w:val="1F3864"/>
        </w:rPr>
        <w:t xml:space="preserve">Step 8 — Digital Tool Usage Patterns</w:t>
      </w:r>
    </w:p>
    <w:p>
      <w:pPr>
        <w:spacing w:after="120" w:before="120"/>
        <w:jc w:val="center"/>
      </w:pPr>
      <w:r>
        <w:drawing>
          <wp:inline distT="0" distB="0" distL="0" distR="0">
            <wp:extent cx="2667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809875"/>
                    </a:xfrm>
                    <a:prstGeom prst="rect">
                      <a:avLst/>
                    </a:prstGeom>
                  </pic:spPr>
                </pic:pic>
              </a:graphicData>
            </a:graphic>
          </wp:inline>
        </w:drawing>
      </w:r>
    </w:p>
    <w:p>
      <w:pPr>
        <w:spacing w:after="240"/>
        <w:jc w:val="center"/>
      </w:pPr>
      <w:r>
        <w:rPr>
          <w:i/>
          <w:iCs/>
          <w:color w:val="595959"/>
          <w:sz w:val="18"/>
          <w:szCs w:val="18"/>
        </w:rPr>
        <w:t xml:space="preserve">Fig. 4 — 94.2% of respondents (65 of 69) use digital learning tools for their studies; 5.8% (4) do not.</w:t>
      </w:r>
    </w:p>
    <w:p>
      <w:pPr>
        <w:spacing w:after="120" w:before="120"/>
        <w:jc w:val="center"/>
      </w:pPr>
      <w:r>
        <w:drawing>
          <wp:inline distT="0" distB="0" distL="0" distR="0">
            <wp:extent cx="46672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2600325"/>
                    </a:xfrm>
                    <a:prstGeom prst="rect">
                      <a:avLst/>
                    </a:prstGeom>
                  </pic:spPr>
                </pic:pic>
              </a:graphicData>
            </a:graphic>
          </wp:inline>
        </w:drawing>
      </w:r>
    </w:p>
    <w:p>
      <w:pPr>
        <w:spacing w:after="240"/>
        <w:jc w:val="center"/>
      </w:pPr>
      <w:r>
        <w:rPr>
          <w:i/>
          <w:iCs/>
          <w:color w:val="595959"/>
          <w:sz w:val="18"/>
          <w:szCs w:val="18"/>
        </w:rPr>
        <w:t xml:space="preserve">Fig. 5 — Frequency of use: Daily 41, 4–6 days/week 14, 2–3 days/week 8, Once a week 5, Rarely 1. Nearly 80% use tools daily or almost daily.</w:t>
      </w:r>
    </w:p>
    <w:p>
      <w:pPr>
        <w:spacing w:after="120" w:before="120"/>
        <w:jc w:val="center"/>
      </w:pPr>
      <w:r>
        <w:drawing>
          <wp:inline distT="0" distB="0" distL="0" distR="0">
            <wp:extent cx="46101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10100" cy="2590800"/>
                    </a:xfrm>
                    <a:prstGeom prst="rect">
                      <a:avLst/>
                    </a:prstGeom>
                  </pic:spPr>
                </pic:pic>
              </a:graphicData>
            </a:graphic>
          </wp:inline>
        </w:drawing>
      </w:r>
    </w:p>
    <w:p>
      <w:pPr>
        <w:spacing w:after="240"/>
        <w:jc w:val="center"/>
      </w:pPr>
      <w:r>
        <w:rPr>
          <w:i/>
          <w:iCs/>
          <w:color w:val="595959"/>
          <w:sz w:val="18"/>
          <w:szCs w:val="18"/>
        </w:rPr>
        <w:t xml:space="preserve">Fig. 6 — Time spent per day: 1–2 hours (22) and 30 minutes–1 hour (21) are the most common bands, followed by more than 3 hours (12) and less than 30 minutes (11); only 3 respondents spend 2–3 hours.</w:t>
      </w:r>
    </w:p>
    <w:p>
      <w:pPr>
        <w:pStyle w:val="Heading1"/>
        <w:pBdr>
          <w:bottom w:val="single" w:color="1F3864" w:sz="6" w:space="4"/>
        </w:pBdr>
        <w:spacing w:after="160" w:before="360"/>
      </w:pPr>
      <w:r>
        <w:rPr>
          <w:b/>
          <w:bCs/>
          <w:color w:val="1F3864"/>
        </w:rPr>
        <w:t xml:space="preserve">Step 9 — Tool Preference Analysis</w:t>
      </w:r>
    </w:p>
    <w:p>
      <w:pPr>
        <w:spacing w:after="120" w:before="120"/>
        <w:jc w:val="center"/>
      </w:pPr>
      <w:r>
        <w:drawing>
          <wp:inline distT="0" distB="0" distL="0" distR="0">
            <wp:extent cx="414337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43375" cy="3095625"/>
                    </a:xfrm>
                    <a:prstGeom prst="rect">
                      <a:avLst/>
                    </a:prstGeom>
                  </pic:spPr>
                </pic:pic>
              </a:graphicData>
            </a:graphic>
          </wp:inline>
        </w:drawing>
      </w:r>
    </w:p>
    <w:p>
      <w:pPr>
        <w:spacing w:after="240"/>
        <w:jc w:val="center"/>
      </w:pPr>
      <w:r>
        <w:rPr>
          <w:i/>
          <w:iCs/>
          <w:color w:val="595959"/>
          <w:sz w:val="18"/>
          <w:szCs w:val="18"/>
        </w:rPr>
        <w:t xml:space="preserve">Fig. 7 — Tools used (multi-select). ChatGPT/AI tools and YouTube are tied for first place (47 respondents each), followed by Google Classroom (27), Cloud/Cloude-based tools (18), Education apps and Google Meet (16 each), Zoom (13), Duolingo (10) and Coursera (8).</w:t>
      </w:r>
    </w:p>
    <w:p>
      <w:pPr>
        <w:spacing w:after="120" w:before="120"/>
        <w:jc w:val="center"/>
      </w:pPr>
      <w:r>
        <w:drawing>
          <wp:inline distT="0" distB="0" distL="0" distR="0">
            <wp:extent cx="46672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67250" cy="2009775"/>
                    </a:xfrm>
                    <a:prstGeom prst="rect">
                      <a:avLst/>
                    </a:prstGeom>
                  </pic:spPr>
                </pic:pic>
              </a:graphicData>
            </a:graphic>
          </wp:inline>
        </w:drawing>
      </w:r>
    </w:p>
    <w:p>
      <w:pPr>
        <w:spacing w:after="240"/>
        <w:jc w:val="center"/>
      </w:pPr>
      <w:r>
        <w:rPr>
          <w:i/>
          <w:iCs/>
          <w:color w:val="595959"/>
          <w:sz w:val="18"/>
          <w:szCs w:val="18"/>
        </w:rPr>
        <w:t xml:space="preserve">Fig. 8 — Tools considered most useful: ChatGPT is the clear leader (55), followed by Gemini (17) and cloud-based AI tools (15).</w:t>
      </w:r>
    </w:p>
    <w:p>
      <w:pPr>
        <w:pStyle w:val="Heading1"/>
        <w:pBdr>
          <w:bottom w:val="single" w:color="1F3864" w:sz="6" w:space="4"/>
        </w:pBdr>
        <w:spacing w:after="160" w:before="360"/>
      </w:pPr>
      <w:r>
        <w:rPr>
          <w:b/>
          <w:bCs/>
          <w:color w:val="1F3864"/>
        </w:rPr>
        <w:t xml:space="preserve">Step 10 — Perceived Usefulness, Benefits &amp; Advantages</w:t>
      </w:r>
    </w:p>
    <w:p>
      <w:pPr>
        <w:spacing w:after="120" w:before="120"/>
        <w:jc w:val="center"/>
      </w:pPr>
      <w:r>
        <w:drawing>
          <wp:inline distT="0" distB="0" distL="0" distR="0">
            <wp:extent cx="46672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67250" cy="2600325"/>
                    </a:xfrm>
                    <a:prstGeom prst="rect">
                      <a:avLst/>
                    </a:prstGeom>
                  </pic:spPr>
                </pic:pic>
              </a:graphicData>
            </a:graphic>
          </wp:inline>
        </w:drawing>
      </w:r>
    </w:p>
    <w:p>
      <w:pPr>
        <w:spacing w:after="240"/>
        <w:jc w:val="center"/>
      </w:pPr>
      <w:r>
        <w:rPr>
          <w:i/>
          <w:iCs/>
          <w:color w:val="595959"/>
          <w:sz w:val="18"/>
          <w:szCs w:val="18"/>
        </w:rPr>
        <w:t xml:space="preserve">Fig. 9 — Perceived helpfulness: "Very helpful" dominates (38), followed by "Moderately helpful" and "Extremely helpful" (11 each) and "Slightly helpful" (9). Combined, 71% rate the tools Very/Extremely helpful.</w:t>
      </w:r>
    </w:p>
    <w:p>
      <w:pPr>
        <w:spacing w:after="120" w:before="120"/>
        <w:jc w:val="center"/>
      </w:pPr>
      <w:r>
        <w:drawing>
          <wp:inline distT="0" distB="0" distL="0" distR="0">
            <wp:extent cx="46672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67250" cy="2895600"/>
                    </a:xfrm>
                    <a:prstGeom prst="rect">
                      <a:avLst/>
                    </a:prstGeom>
                  </pic:spPr>
                </pic:pic>
              </a:graphicData>
            </a:graphic>
          </wp:inline>
        </w:drawing>
      </w:r>
    </w:p>
    <w:p>
      <w:pPr>
        <w:spacing w:after="240"/>
        <w:jc w:val="center"/>
      </w:pPr>
      <w:r>
        <w:rPr>
          <w:i/>
          <w:iCs/>
          <w:color w:val="595959"/>
          <w:sz w:val="18"/>
          <w:szCs w:val="18"/>
        </w:rPr>
        <w:t xml:space="preserve">Fig. 10 — Main benefits reported (multi-select): all-round benefit ("All", 22) and "Better understanding of difficult topics" (21) lead, followed by quick access to information and help with assignments (7 each).</w:t>
      </w:r>
    </w:p>
    <w:p>
      <w:pPr>
        <w:spacing w:after="120" w:before="120"/>
        <w:jc w:val="center"/>
      </w:pPr>
      <w:r>
        <w:drawing>
          <wp:inline distT="0" distB="0" distL="0" distR="0">
            <wp:extent cx="46672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67250" cy="2305050"/>
                    </a:xfrm>
                    <a:prstGeom prst="rect">
                      <a:avLst/>
                    </a:prstGeom>
                  </pic:spPr>
                </pic:pic>
              </a:graphicData>
            </a:graphic>
          </wp:inline>
        </w:drawing>
      </w:r>
    </w:p>
    <w:p>
      <w:pPr>
        <w:spacing w:after="240"/>
        <w:jc w:val="center"/>
      </w:pPr>
      <w:r>
        <w:rPr>
          <w:i/>
          <w:iCs/>
          <w:color w:val="595959"/>
          <w:sz w:val="18"/>
          <w:szCs w:val="18"/>
        </w:rPr>
        <w:t xml:space="preserve">Fig. 11 — Biggest single advantage: "All of the above" (23), "Easy and quick access to information" (18), and "Saves time" (13) are the top responses.</w:t>
      </w:r>
    </w:p>
    <w:p>
      <w:pPr>
        <w:pStyle w:val="Heading1"/>
        <w:pBdr>
          <w:bottom w:val="single" w:color="1F3864" w:sz="6" w:space="4"/>
        </w:pBdr>
        <w:spacing w:after="160" w:before="360"/>
      </w:pPr>
      <w:r>
        <w:rPr>
          <w:b/>
          <w:bCs/>
          <w:color w:val="1F3864"/>
        </w:rPr>
        <w:t xml:space="preserve">Step 11 — Trust, Overall Experience, Device &amp; Access</w:t>
      </w:r>
    </w:p>
    <w:p>
      <w:pPr>
        <w:spacing w:after="120" w:before="120"/>
        <w:jc w:val="center"/>
      </w:pPr>
      <w:r>
        <w:drawing>
          <wp:inline distT="0" distB="0" distL="0" distR="0">
            <wp:extent cx="46672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2600325"/>
                    </a:xfrm>
                    <a:prstGeom prst="rect">
                      <a:avLst/>
                    </a:prstGeom>
                  </pic:spPr>
                </pic:pic>
              </a:graphicData>
            </a:graphic>
          </wp:inline>
        </w:drawing>
      </w:r>
    </w:p>
    <w:p>
      <w:pPr>
        <w:spacing w:after="240"/>
        <w:jc w:val="center"/>
      </w:pPr>
      <w:r>
        <w:rPr>
          <w:i/>
          <w:iCs/>
          <w:color w:val="595959"/>
          <w:sz w:val="18"/>
          <w:szCs w:val="18"/>
        </w:rPr>
        <w:t xml:space="preserve">Fig. 12 — Perceived accuracy/reliability: "Highly accurate" (29) and "Accurate" (22) together account for 51 of 69 respondents; only 5 rate tools as inaccurate.</w:t>
      </w:r>
    </w:p>
    <w:p>
      <w:pPr>
        <w:spacing w:after="120" w:before="120"/>
        <w:jc w:val="center"/>
      </w:pPr>
      <w:r>
        <w:drawing>
          <wp:inline distT="0" distB="0" distL="0" distR="0">
            <wp:extent cx="46672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67250" cy="2590800"/>
                    </a:xfrm>
                    <a:prstGeom prst="rect">
                      <a:avLst/>
                    </a:prstGeom>
                  </pic:spPr>
                </pic:pic>
              </a:graphicData>
            </a:graphic>
          </wp:inline>
        </w:drawing>
      </w:r>
    </w:p>
    <w:p>
      <w:pPr>
        <w:spacing w:after="240"/>
        <w:jc w:val="center"/>
      </w:pPr>
      <w:r>
        <w:rPr>
          <w:i/>
          <w:iCs/>
          <w:color w:val="595959"/>
          <w:sz w:val="18"/>
          <w:szCs w:val="18"/>
        </w:rPr>
        <w:t xml:space="preserve">Fig. 13 — Overall experience: "Excellent" (33) and "Good" (24) dominate — 82.6% rate their overall experience as Good or Excellent.</w:t>
      </w:r>
    </w:p>
    <w:p>
      <w:pPr>
        <w:spacing w:after="120" w:before="120"/>
        <w:jc w:val="center"/>
      </w:pPr>
      <w:r>
        <w:drawing>
          <wp:inline distT="0" distB="0" distL="0" distR="0">
            <wp:extent cx="28003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00350" cy="2609850"/>
                    </a:xfrm>
                    <a:prstGeom prst="rect">
                      <a:avLst/>
                    </a:prstGeom>
                  </pic:spPr>
                </pic:pic>
              </a:graphicData>
            </a:graphic>
          </wp:inline>
        </w:drawing>
      </w:r>
    </w:p>
    <w:p>
      <w:pPr>
        <w:spacing w:after="240"/>
        <w:jc w:val="center"/>
      </w:pPr>
      <w:r>
        <w:rPr>
          <w:i/>
          <w:iCs/>
          <w:color w:val="595959"/>
          <w:sz w:val="18"/>
          <w:szCs w:val="18"/>
        </w:rPr>
        <w:t xml:space="preserve">Fig. 14 — Primary device: Smartphone (53.6%) is the leading device, followed by Laptop (39.1%), Tablet (4.3%) and Desktop (2.9%).</w:t>
      </w:r>
    </w:p>
    <w:p>
      <w:pPr>
        <w:spacing w:after="120" w:before="120"/>
        <w:jc w:val="center"/>
      </w:pPr>
      <w:r>
        <w:drawing>
          <wp:inline distT="0" distB="0" distL="0" distR="0">
            <wp:extent cx="46672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667250" cy="2590800"/>
                    </a:xfrm>
                    <a:prstGeom prst="rect">
                      <a:avLst/>
                    </a:prstGeom>
                  </pic:spPr>
                </pic:pic>
              </a:graphicData>
            </a:graphic>
          </wp:inline>
        </w:drawing>
      </w:r>
    </w:p>
    <w:p>
      <w:pPr>
        <w:spacing w:after="240"/>
        <w:jc w:val="center"/>
      </w:pPr>
      <w:r>
        <w:rPr>
          <w:i/>
          <w:iCs/>
          <w:color w:val="595959"/>
          <w:sz w:val="18"/>
          <w:szCs w:val="18"/>
        </w:rPr>
        <w:t xml:space="preserve">Fig. 15 — Primary access location: Home (38) is most common, followed by College (23); Hostel and Library account for 4 respondents each.</w:t>
      </w:r>
    </w:p>
    <w:p>
      <w:pPr>
        <w:pStyle w:val="Heading1"/>
        <w:pBdr>
          <w:bottom w:val="single" w:color="1F3864" w:sz="6" w:space="4"/>
        </w:pBdr>
        <w:spacing w:after="160" w:before="360"/>
      </w:pPr>
      <w:r>
        <w:rPr>
          <w:b/>
          <w:bCs/>
          <w:color w:val="1F3864"/>
        </w:rPr>
        <w:t xml:space="preserve">Step 12 — Challenges, Cost Perception &amp; AI Usage</w:t>
      </w:r>
    </w:p>
    <w:p>
      <w:pPr>
        <w:spacing w:after="120" w:before="120"/>
        <w:jc w:val="center"/>
      </w:pPr>
      <w:r>
        <w:drawing>
          <wp:inline distT="0" distB="0" distL="0" distR="0">
            <wp:extent cx="46672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667250" cy="1714500"/>
                    </a:xfrm>
                    <a:prstGeom prst="rect">
                      <a:avLst/>
                    </a:prstGeom>
                  </pic:spPr>
                </pic:pic>
              </a:graphicData>
            </a:graphic>
          </wp:inline>
        </w:drawing>
      </w:r>
    </w:p>
    <w:p>
      <w:pPr>
        <w:spacing w:after="240"/>
        <w:jc w:val="center"/>
      </w:pPr>
      <w:r>
        <w:rPr>
          <w:i/>
          <w:iCs/>
          <w:color w:val="595959"/>
          <w:sz w:val="18"/>
          <w:szCs w:val="18"/>
        </w:rPr>
        <w:t xml:space="preserve">Fig. 16 — Problems faced: "Paid/limited features" is by far the biggest complaint (41), followed by internet connectivity issues (17), incorrect/misleading information (6), and privacy concerns (5).</w:t>
      </w:r>
    </w:p>
    <w:p>
      <w:pPr>
        <w:spacing w:after="120" w:before="120"/>
        <w:jc w:val="center"/>
      </w:pPr>
      <w:r>
        <w:drawing>
          <wp:inline distT="0" distB="0" distL="0" distR="0">
            <wp:extent cx="31623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62300" cy="2457450"/>
                    </a:xfrm>
                    <a:prstGeom prst="rect">
                      <a:avLst/>
                    </a:prstGeom>
                  </pic:spPr>
                </pic:pic>
              </a:graphicData>
            </a:graphic>
          </wp:inline>
        </w:drawing>
      </w:r>
    </w:p>
    <w:p>
      <w:pPr>
        <w:spacing w:after="240"/>
        <w:jc w:val="center"/>
      </w:pPr>
      <w:r>
        <w:rPr>
          <w:i/>
          <w:iCs/>
          <w:color w:val="595959"/>
          <w:sz w:val="18"/>
          <w:szCs w:val="18"/>
        </w:rPr>
        <w:t xml:space="preserve">Fig. 17 — Perceived cost of digital vs. offline learning is split: 26.1% each say "much more expensive" and "slightly more expensive", 21.7% say "almost the same", and 26.1% combined say cheaper.</w:t>
      </w:r>
    </w:p>
    <w:p>
      <w:pPr>
        <w:spacing w:after="120" w:before="120"/>
        <w:jc w:val="center"/>
      </w:pPr>
      <w:r>
        <w:drawing>
          <wp:inline distT="0" distB="0" distL="0" distR="0">
            <wp:extent cx="46672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67250" cy="1714500"/>
                    </a:xfrm>
                    <a:prstGeom prst="rect">
                      <a:avLst/>
                    </a:prstGeom>
                  </pic:spPr>
                </pic:pic>
              </a:graphicData>
            </a:graphic>
          </wp:inline>
        </w:drawing>
      </w:r>
    </w:p>
    <w:p>
      <w:pPr>
        <w:spacing w:after="240"/>
        <w:jc w:val="center"/>
      </w:pPr>
      <w:r>
        <w:rPr>
          <w:i/>
          <w:iCs/>
          <w:color w:val="595959"/>
          <w:sz w:val="18"/>
          <w:szCs w:val="18"/>
        </w:rPr>
        <w:t xml:space="preserve">Fig. 18 — Which is costlier: opinion is nearly evenly split between digital tools (24), offline learning (23) and "depends on the course/institute" (20).</w:t>
      </w:r>
    </w:p>
    <w:p>
      <w:pPr>
        <w:spacing w:after="120" w:before="120"/>
        <w:jc w:val="center"/>
      </w:pPr>
      <w:r>
        <w:drawing>
          <wp:inline distT="0" distB="0" distL="0" distR="0">
            <wp:extent cx="467677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676775" cy="2009775"/>
                    </a:xfrm>
                    <a:prstGeom prst="rect">
                      <a:avLst/>
                    </a:prstGeom>
                  </pic:spPr>
                </pic:pic>
              </a:graphicData>
            </a:graphic>
          </wp:inline>
        </w:drawing>
      </w:r>
    </w:p>
    <w:p>
      <w:pPr>
        <w:spacing w:after="240"/>
        <w:jc w:val="center"/>
      </w:pPr>
      <w:r>
        <w:rPr>
          <w:i/>
          <w:iCs/>
          <w:color w:val="595959"/>
          <w:sz w:val="18"/>
          <w:szCs w:val="18"/>
        </w:rPr>
        <w:t xml:space="preserve">Fig. 19 — Primary purpose of using AI tools: clearing doubts/complex concepts (28) and coding/programming help (26) are the top two uses, followed by assignment/report preparation (8).</w:t>
      </w:r>
    </w:p>
    <w:p>
      <w:pPr>
        <w:pStyle w:val="Heading1"/>
        <w:pBdr>
          <w:bottom w:val="single" w:color="1F3864" w:sz="6" w:space="4"/>
        </w:pBdr>
        <w:spacing w:after="160" w:before="360"/>
      </w:pPr>
      <w:r>
        <w:rPr>
          <w:b/>
          <w:bCs/>
          <w:color w:val="1F3864"/>
        </w:rPr>
        <w:t xml:space="preserve">Step 13 — Cross-Tabulation &amp; Correlation Analysis</w:t>
      </w:r>
    </w:p>
    <w:p>
      <w:pPr>
        <w:pStyle w:val="Heading2"/>
        <w:spacing w:after="120" w:before="260"/>
      </w:pPr>
      <w:r>
        <w:rPr>
          <w:b/>
          <w:bCs/>
          <w:color w:val="2E7D6B"/>
        </w:rPr>
        <w:t xml:space="preserve">13.1  Usage Frequency vs. Perceived Helpfulness</w:t>
      </w:r>
    </w:p>
    <w:p>
      <w:pPr>
        <w:spacing w:after="120" w:before="120"/>
        <w:jc w:val="center"/>
      </w:pPr>
      <w:r>
        <w:drawing>
          <wp:inline distT="0" distB="0" distL="0" distR="0">
            <wp:extent cx="465772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57725" cy="2571750"/>
                    </a:xfrm>
                    <a:prstGeom prst="rect">
                      <a:avLst/>
                    </a:prstGeom>
                  </pic:spPr>
                </pic:pic>
              </a:graphicData>
            </a:graphic>
          </wp:inline>
        </w:drawing>
      </w:r>
    </w:p>
    <w:p>
      <w:pPr>
        <w:spacing w:after="240"/>
        <w:jc w:val="center"/>
      </w:pPr>
      <w:r>
        <w:rPr>
          <w:i/>
          <w:iCs/>
          <w:color w:val="595959"/>
          <w:sz w:val="18"/>
          <w:szCs w:val="18"/>
        </w:rPr>
        <w:t xml:space="preserve">Fig. 20 — Students who use digital tools daily report the highest counts of "Very helpful" and "Extremely helpful" ratings, suggesting more frequent users tend to perceive greater benefit.</w:t>
      </w:r>
    </w:p>
    <w:p>
      <w:pPr>
        <w:pStyle w:val="Heading2"/>
        <w:spacing w:after="120" w:before="260"/>
      </w:pPr>
      <w:r>
        <w:rPr>
          <w:b/>
          <w:bCs/>
          <w:color w:val="2E7D6B"/>
        </w:rPr>
        <w:t xml:space="preserve">13.2  Correlation Matrix</w:t>
      </w:r>
    </w:p>
    <w:p>
      <w:pPr>
        <w:spacing w:after="160" w:line="276"/>
      </w:pPr>
      <w:r>
        <w:t xml:space="preserve">Ordinal responses were scored numerically (e.g. Frequency: Rarely=1 … Daily=5; Helpfulness: Slightly=1 … Extremely=4; Accuracy: Very inaccurate=1 … Highly accurate=5; Experience: Very Poor=1 … Excellent=5) to compute Pearson correlation coefficients.</w:t>
      </w:r>
    </w:p>
    <w:p>
      <w:pPr>
        <w:spacing w:after="120" w:before="120"/>
        <w:jc w:val="center"/>
      </w:pPr>
      <w:r>
        <w:drawing>
          <wp:inline distT="0" distB="0" distL="0" distR="0">
            <wp:extent cx="31813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81350" cy="2571750"/>
                    </a:xfrm>
                    <a:prstGeom prst="rect">
                      <a:avLst/>
                    </a:prstGeom>
                  </pic:spPr>
                </pic:pic>
              </a:graphicData>
            </a:graphic>
          </wp:inline>
        </w:drawing>
      </w:r>
    </w:p>
    <w:p>
      <w:pPr>
        <w:spacing w:after="240"/>
        <w:jc w:val="center"/>
      </w:pPr>
      <w:r>
        <w:rPr>
          <w:i/>
          <w:iCs/>
          <w:color w:val="595959"/>
          <w:sz w:val="18"/>
          <w:szCs w:val="18"/>
        </w:rPr>
        <w:t xml:space="preserve">Fig. 21 — Correlation heatmap: Age, Usage Frequency, Helpfulness, Accuracy/Trust, Overall Experience.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1520"/>
        <w:gridCol w:w="1560"/>
        <w:gridCol w:w="1720"/>
        <w:gridCol w:w="1500"/>
      </w:tblGrid>
      <w:tr>
        <w:trPr>
          <w:tblHeader/>
        </w:trPr>
        <w:tc>
          <w:tcPr>
            <w:tcW w:type="dxa" w:w="2200"/>
            <w:shd w:fill="1F3864" w:val="clear"/>
            <w:tcMar>
              <w:top w:type="dxa" w:w="80"/>
              <w:left w:type="dxa" w:w="120"/>
              <w:bottom w:type="dxa" w:w="80"/>
              <w:right w:type="dxa" w:w="120"/>
            </w:tcMar>
          </w:tcPr>
          <w:p>
            <w:pPr>
              <w:jc w:val="center"/>
            </w:pPr>
            <w:r>
              <w:rPr>
                <w:b/>
                <w:bCs/>
                <w:color w:val="FFFFFF"/>
                <w:sz w:val="20"/>
                <w:szCs w:val="20"/>
              </w:rPr>
              <w:t xml:space="preserve"/>
            </w:r>
          </w:p>
        </w:tc>
        <w:tc>
          <w:tcPr>
            <w:tcW w:type="dxa" w:w="1520"/>
            <w:shd w:fill="1F3864" w:val="clear"/>
            <w:tcMar>
              <w:top w:type="dxa" w:w="80"/>
              <w:left w:type="dxa" w:w="120"/>
              <w:bottom w:type="dxa" w:w="80"/>
              <w:right w:type="dxa" w:w="120"/>
            </w:tcMar>
          </w:tcPr>
          <w:p>
            <w:pPr>
              <w:jc w:val="center"/>
            </w:pPr>
            <w:r>
              <w:rPr>
                <w:b/>
                <w:bCs/>
                <w:color w:val="FFFFFF"/>
                <w:sz w:val="20"/>
                <w:szCs w:val="20"/>
              </w:rPr>
              <w:t xml:space="preserve">Age</w:t>
            </w:r>
          </w:p>
        </w:tc>
        <w:tc>
          <w:tcPr>
            <w:tcW w:type="dxa" w:w="1560"/>
            <w:shd w:fill="1F3864" w:val="clear"/>
            <w:tcMar>
              <w:top w:type="dxa" w:w="80"/>
              <w:left w:type="dxa" w:w="120"/>
              <w:bottom w:type="dxa" w:w="80"/>
              <w:right w:type="dxa" w:w="120"/>
            </w:tcMar>
          </w:tcPr>
          <w:p>
            <w:pPr>
              <w:jc w:val="center"/>
            </w:pPr>
            <w:r>
              <w:rPr>
                <w:b/>
                <w:bCs/>
                <w:color w:val="FFFFFF"/>
                <w:sz w:val="20"/>
                <w:szCs w:val="20"/>
              </w:rPr>
              <w:t xml:space="preserve">Usage Freq.</w:t>
            </w:r>
          </w:p>
        </w:tc>
        <w:tc>
          <w:tcPr>
            <w:tcW w:type="dxa" w:w="1720"/>
            <w:shd w:fill="1F3864" w:val="clear"/>
            <w:tcMar>
              <w:top w:type="dxa" w:w="80"/>
              <w:left w:type="dxa" w:w="120"/>
              <w:bottom w:type="dxa" w:w="80"/>
              <w:right w:type="dxa" w:w="120"/>
            </w:tcMar>
          </w:tcPr>
          <w:p>
            <w:pPr>
              <w:jc w:val="center"/>
            </w:pPr>
            <w:r>
              <w:rPr>
                <w:b/>
                <w:bCs/>
                <w:color w:val="FFFFFF"/>
                <w:sz w:val="20"/>
                <w:szCs w:val="20"/>
              </w:rPr>
              <w:t xml:space="preserve">Helpfulness</w:t>
            </w:r>
          </w:p>
        </w:tc>
        <w:tc>
          <w:tcPr>
            <w:tcW w:type="dxa" w:w="1500"/>
            <w:shd w:fill="1F3864" w:val="clear"/>
            <w:tcMar>
              <w:top w:type="dxa" w:w="80"/>
              <w:left w:type="dxa" w:w="120"/>
              <w:bottom w:type="dxa" w:w="80"/>
              <w:right w:type="dxa" w:w="120"/>
            </w:tcMar>
          </w:tcPr>
          <w:p>
            <w:pPr>
              <w:jc w:val="center"/>
            </w:pPr>
            <w:r>
              <w:rPr>
                <w:b/>
                <w:bCs/>
                <w:color w:val="FFFFFF"/>
                <w:sz w:val="20"/>
                <w:szCs w:val="20"/>
              </w:rPr>
              <w:t xml:space="preserve">Trust (Accuracy)</w:t>
            </w:r>
          </w:p>
        </w:tc>
        <w:tc>
          <w:tcPr>
            <w:shd w:fill="1F3864" w:val="clear"/>
            <w:tcMar>
              <w:top w:type="dxa" w:w="80"/>
              <w:left w:type="dxa" w:w="120"/>
              <w:bottom w:type="dxa" w:w="80"/>
              <w:right w:type="dxa" w:w="120"/>
            </w:tcMar>
          </w:tcPr>
          <w:p>
            <w:pPr>
              <w:jc w:val="center"/>
            </w:pPr>
            <w:r>
              <w:rPr>
                <w:b/>
                <w:bCs/>
                <w:color w:val="FFFFFF"/>
                <w:sz w:val="20"/>
                <w:szCs w:val="20"/>
              </w:rPr>
              <w:t xml:space="preserve">Overall Exp.</w:t>
            </w:r>
          </w:p>
        </w:tc>
      </w:tr>
      <w:tr>
        <w:tc>
          <w:tcPr>
            <w:tcW w:type="dxa" w:w="2200"/>
            <w:tcMar>
              <w:top w:type="dxa" w:w="80"/>
              <w:left w:type="dxa" w:w="120"/>
              <w:bottom w:type="dxa" w:w="80"/>
              <w:right w:type="dxa" w:w="120"/>
            </w:tcMar>
          </w:tcPr>
          <w:p>
            <w:pPr>
              <w:jc w:val="left"/>
            </w:pPr>
            <w:r>
              <w:rPr>
                <w:b w:val="false"/>
                <w:bCs w:val="false"/>
                <w:color w:val="000000"/>
                <w:sz w:val="20"/>
                <w:szCs w:val="20"/>
              </w:rPr>
              <w:t xml:space="preserve">Age</w:t>
            </w:r>
          </w:p>
        </w:tc>
        <w:tc>
          <w:tcPr>
            <w:tcW w:type="dxa" w:w="1520"/>
            <w:tcMar>
              <w:top w:type="dxa" w:w="80"/>
              <w:left w:type="dxa" w:w="120"/>
              <w:bottom w:type="dxa" w:w="80"/>
              <w:right w:type="dxa" w:w="120"/>
            </w:tcMar>
          </w:tcPr>
          <w:p>
            <w:pPr>
              <w:jc w:val="center"/>
            </w:pPr>
            <w:r>
              <w:rPr>
                <w:b w:val="false"/>
                <w:bCs w:val="false"/>
                <w:color w:val="000000"/>
                <w:sz w:val="20"/>
                <w:szCs w:val="20"/>
              </w:rPr>
              <w:t xml:space="preserve">1.00</w:t>
            </w:r>
          </w:p>
        </w:tc>
        <w:tc>
          <w:tcPr>
            <w:tcW w:type="dxa" w:w="1560"/>
            <w:tcMar>
              <w:top w:type="dxa" w:w="80"/>
              <w:left w:type="dxa" w:w="120"/>
              <w:bottom w:type="dxa" w:w="80"/>
              <w:right w:type="dxa" w:w="120"/>
            </w:tcMar>
          </w:tcPr>
          <w:p>
            <w:pPr>
              <w:jc w:val="center"/>
            </w:pPr>
            <w:r>
              <w:rPr>
                <w:b w:val="false"/>
                <w:bCs w:val="false"/>
                <w:color w:val="000000"/>
                <w:sz w:val="20"/>
                <w:szCs w:val="20"/>
              </w:rPr>
              <w:t xml:space="preserve">0.23</w:t>
            </w:r>
          </w:p>
        </w:tc>
        <w:tc>
          <w:tcPr>
            <w:tcW w:type="dxa" w:w="1720"/>
            <w:tcMar>
              <w:top w:type="dxa" w:w="80"/>
              <w:left w:type="dxa" w:w="120"/>
              <w:bottom w:type="dxa" w:w="80"/>
              <w:right w:type="dxa" w:w="120"/>
            </w:tcMar>
          </w:tcPr>
          <w:p>
            <w:pPr>
              <w:jc w:val="center"/>
            </w:pPr>
            <w:r>
              <w:rPr>
                <w:b w:val="false"/>
                <w:bCs w:val="false"/>
                <w:color w:val="000000"/>
                <w:sz w:val="20"/>
                <w:szCs w:val="20"/>
              </w:rPr>
              <w:t xml:space="preserve">0.02</w:t>
            </w:r>
          </w:p>
        </w:tc>
        <w:tc>
          <w:tcPr>
            <w:tcW w:type="dxa" w:w="1500"/>
            <w:tcMar>
              <w:top w:type="dxa" w:w="80"/>
              <w:left w:type="dxa" w:w="120"/>
              <w:bottom w:type="dxa" w:w="80"/>
              <w:right w:type="dxa" w:w="120"/>
            </w:tcMar>
          </w:tcPr>
          <w:p>
            <w:pPr>
              <w:jc w:val="center"/>
            </w:pPr>
            <w:r>
              <w:rPr>
                <w:b w:val="false"/>
                <w:bCs w:val="false"/>
                <w:color w:val="000000"/>
                <w:sz w:val="20"/>
                <w:szCs w:val="20"/>
              </w:rPr>
              <w:t xml:space="preserve">0.16</w:t>
            </w:r>
          </w:p>
        </w:tc>
        <w:tc>
          <w:tcPr>
            <w:tcMar>
              <w:top w:type="dxa" w:w="80"/>
              <w:left w:type="dxa" w:w="120"/>
              <w:bottom w:type="dxa" w:w="80"/>
              <w:right w:type="dxa" w:w="120"/>
            </w:tcMar>
          </w:tcPr>
          <w:p>
            <w:pPr>
              <w:jc w:val="center"/>
            </w:pPr>
            <w:r>
              <w:rPr>
                <w:b w:val="false"/>
                <w:bCs w:val="false"/>
                <w:color w:val="000000"/>
                <w:sz w:val="20"/>
                <w:szCs w:val="20"/>
              </w:rPr>
              <w:t xml:space="preserve">0.19</w:t>
            </w:r>
          </w:p>
        </w:tc>
      </w:tr>
      <w:tr>
        <w:tc>
          <w:tcPr>
            <w:tcW w:type="dxa" w:w="2200"/>
            <w:shd w:fill="F2F2F2" w:val="clear"/>
            <w:tcMar>
              <w:top w:type="dxa" w:w="80"/>
              <w:left w:type="dxa" w:w="120"/>
              <w:bottom w:type="dxa" w:w="80"/>
              <w:right w:type="dxa" w:w="120"/>
            </w:tcMar>
          </w:tcPr>
          <w:p>
            <w:pPr>
              <w:jc w:val="left"/>
            </w:pPr>
            <w:r>
              <w:rPr>
                <w:b w:val="false"/>
                <w:bCs w:val="false"/>
                <w:color w:val="000000"/>
                <w:sz w:val="20"/>
                <w:szCs w:val="20"/>
              </w:rPr>
              <w:t xml:space="preserve">Usage Freq.</w:t>
            </w:r>
          </w:p>
        </w:tc>
        <w:tc>
          <w:tcPr>
            <w:tcW w:type="dxa" w:w="1520"/>
            <w:shd w:fill="F2F2F2" w:val="clear"/>
            <w:tcMar>
              <w:top w:type="dxa" w:w="80"/>
              <w:left w:type="dxa" w:w="120"/>
              <w:bottom w:type="dxa" w:w="80"/>
              <w:right w:type="dxa" w:w="120"/>
            </w:tcMar>
          </w:tcPr>
          <w:p>
            <w:pPr>
              <w:jc w:val="center"/>
            </w:pPr>
            <w:r>
              <w:rPr>
                <w:b w:val="false"/>
                <w:bCs w:val="false"/>
                <w:color w:val="000000"/>
                <w:sz w:val="20"/>
                <w:szCs w:val="20"/>
              </w:rPr>
              <w:t xml:space="preserve">0.23</w:t>
            </w:r>
          </w:p>
        </w:tc>
        <w:tc>
          <w:tcPr>
            <w:tcW w:type="dxa" w:w="1560"/>
            <w:shd w:fill="F2F2F2" w:val="clear"/>
            <w:tcMar>
              <w:top w:type="dxa" w:w="80"/>
              <w:left w:type="dxa" w:w="120"/>
              <w:bottom w:type="dxa" w:w="80"/>
              <w:right w:type="dxa" w:w="120"/>
            </w:tcMar>
          </w:tcPr>
          <w:p>
            <w:pPr>
              <w:jc w:val="center"/>
            </w:pPr>
            <w:r>
              <w:rPr>
                <w:b w:val="false"/>
                <w:bCs w:val="false"/>
                <w:color w:val="000000"/>
                <w:sz w:val="20"/>
                <w:szCs w:val="20"/>
              </w:rPr>
              <w:t xml:space="preserve">1.00</w:t>
            </w:r>
          </w:p>
        </w:tc>
        <w:tc>
          <w:tcPr>
            <w:tcW w:type="dxa" w:w="1720"/>
            <w:shd w:fill="F2F2F2" w:val="clear"/>
            <w:tcMar>
              <w:top w:type="dxa" w:w="80"/>
              <w:left w:type="dxa" w:w="120"/>
              <w:bottom w:type="dxa" w:w="80"/>
              <w:right w:type="dxa" w:w="120"/>
            </w:tcMar>
          </w:tcPr>
          <w:p>
            <w:pPr>
              <w:jc w:val="center"/>
            </w:pPr>
            <w:r>
              <w:rPr>
                <w:b w:val="false"/>
                <w:bCs w:val="false"/>
                <w:color w:val="000000"/>
                <w:sz w:val="20"/>
                <w:szCs w:val="20"/>
              </w:rPr>
              <w:t xml:space="preserve">0.05</w:t>
            </w:r>
          </w:p>
        </w:tc>
        <w:tc>
          <w:tcPr>
            <w:tcW w:type="dxa" w:w="1500"/>
            <w:shd w:fill="F2F2F2" w:val="clear"/>
            <w:tcMar>
              <w:top w:type="dxa" w:w="80"/>
              <w:left w:type="dxa" w:w="120"/>
              <w:bottom w:type="dxa" w:w="80"/>
              <w:right w:type="dxa" w:w="120"/>
            </w:tcMar>
          </w:tcPr>
          <w:p>
            <w:pPr>
              <w:jc w:val="center"/>
            </w:pPr>
            <w:r>
              <w:rPr>
                <w:b w:val="false"/>
                <w:bCs w:val="false"/>
                <w:color w:val="000000"/>
                <w:sz w:val="20"/>
                <w:szCs w:val="20"/>
              </w:rPr>
              <w:t xml:space="preserve">0.33</w:t>
            </w:r>
          </w:p>
        </w:tc>
        <w:tc>
          <w:tcPr>
            <w:shd w:fill="F2F2F2" w:val="clear"/>
            <w:tcMar>
              <w:top w:type="dxa" w:w="80"/>
              <w:left w:type="dxa" w:w="120"/>
              <w:bottom w:type="dxa" w:w="80"/>
              <w:right w:type="dxa" w:w="120"/>
            </w:tcMar>
          </w:tcPr>
          <w:p>
            <w:pPr>
              <w:jc w:val="center"/>
            </w:pPr>
            <w:r>
              <w:rPr>
                <w:b w:val="false"/>
                <w:bCs w:val="false"/>
                <w:color w:val="000000"/>
                <w:sz w:val="20"/>
                <w:szCs w:val="20"/>
              </w:rPr>
              <w:t xml:space="preserve">0.53</w:t>
            </w:r>
          </w:p>
        </w:tc>
      </w:tr>
      <w:tr>
        <w:tc>
          <w:tcPr>
            <w:tcW w:type="dxa" w:w="2200"/>
            <w:tcMar>
              <w:top w:type="dxa" w:w="80"/>
              <w:left w:type="dxa" w:w="120"/>
              <w:bottom w:type="dxa" w:w="80"/>
              <w:right w:type="dxa" w:w="120"/>
            </w:tcMar>
          </w:tcPr>
          <w:p>
            <w:pPr>
              <w:jc w:val="left"/>
            </w:pPr>
            <w:r>
              <w:rPr>
                <w:b w:val="false"/>
                <w:bCs w:val="false"/>
                <w:color w:val="000000"/>
                <w:sz w:val="20"/>
                <w:szCs w:val="20"/>
              </w:rPr>
              <w:t xml:space="preserve">Helpfulness</w:t>
            </w:r>
          </w:p>
        </w:tc>
        <w:tc>
          <w:tcPr>
            <w:tcW w:type="dxa" w:w="1520"/>
            <w:tcMar>
              <w:top w:type="dxa" w:w="80"/>
              <w:left w:type="dxa" w:w="120"/>
              <w:bottom w:type="dxa" w:w="80"/>
              <w:right w:type="dxa" w:w="120"/>
            </w:tcMar>
          </w:tcPr>
          <w:p>
            <w:pPr>
              <w:jc w:val="center"/>
            </w:pPr>
            <w:r>
              <w:rPr>
                <w:b w:val="false"/>
                <w:bCs w:val="false"/>
                <w:color w:val="000000"/>
                <w:sz w:val="20"/>
                <w:szCs w:val="20"/>
              </w:rPr>
              <w:t xml:space="preserve">0.02</w:t>
            </w:r>
          </w:p>
        </w:tc>
        <w:tc>
          <w:tcPr>
            <w:tcW w:type="dxa" w:w="1560"/>
            <w:tcMar>
              <w:top w:type="dxa" w:w="80"/>
              <w:left w:type="dxa" w:w="120"/>
              <w:bottom w:type="dxa" w:w="80"/>
              <w:right w:type="dxa" w:w="120"/>
            </w:tcMar>
          </w:tcPr>
          <w:p>
            <w:pPr>
              <w:jc w:val="center"/>
            </w:pPr>
            <w:r>
              <w:rPr>
                <w:b w:val="false"/>
                <w:bCs w:val="false"/>
                <w:color w:val="000000"/>
                <w:sz w:val="20"/>
                <w:szCs w:val="20"/>
              </w:rPr>
              <w:t xml:space="preserve">0.05</w:t>
            </w:r>
          </w:p>
        </w:tc>
        <w:tc>
          <w:tcPr>
            <w:tcW w:type="dxa" w:w="1720"/>
            <w:tcMar>
              <w:top w:type="dxa" w:w="80"/>
              <w:left w:type="dxa" w:w="120"/>
              <w:bottom w:type="dxa" w:w="80"/>
              <w:right w:type="dxa" w:w="120"/>
            </w:tcMar>
          </w:tcPr>
          <w:p>
            <w:pPr>
              <w:jc w:val="center"/>
            </w:pPr>
            <w:r>
              <w:rPr>
                <w:b w:val="false"/>
                <w:bCs w:val="false"/>
                <w:color w:val="000000"/>
                <w:sz w:val="20"/>
                <w:szCs w:val="20"/>
              </w:rPr>
              <w:t xml:space="preserve">1.00</w:t>
            </w:r>
          </w:p>
        </w:tc>
        <w:tc>
          <w:tcPr>
            <w:tcW w:type="dxa" w:w="1500"/>
            <w:tcMar>
              <w:top w:type="dxa" w:w="80"/>
              <w:left w:type="dxa" w:w="120"/>
              <w:bottom w:type="dxa" w:w="80"/>
              <w:right w:type="dxa" w:w="120"/>
            </w:tcMar>
          </w:tcPr>
          <w:p>
            <w:pPr>
              <w:jc w:val="center"/>
            </w:pPr>
            <w:r>
              <w:rPr>
                <w:b w:val="false"/>
                <w:bCs w:val="false"/>
                <w:color w:val="000000"/>
                <w:sz w:val="20"/>
                <w:szCs w:val="20"/>
              </w:rPr>
              <w:t xml:space="preserve">-0.06</w:t>
            </w:r>
          </w:p>
        </w:tc>
        <w:tc>
          <w:tcPr>
            <w:tcMar>
              <w:top w:type="dxa" w:w="80"/>
              <w:left w:type="dxa" w:w="120"/>
              <w:bottom w:type="dxa" w:w="80"/>
              <w:right w:type="dxa" w:w="120"/>
            </w:tcMar>
          </w:tcPr>
          <w:p>
            <w:pPr>
              <w:jc w:val="center"/>
            </w:pPr>
            <w:r>
              <w:rPr>
                <w:b w:val="false"/>
                <w:bCs w:val="false"/>
                <w:color w:val="000000"/>
                <w:sz w:val="20"/>
                <w:szCs w:val="20"/>
              </w:rPr>
              <w:t xml:space="preserve">-0.02</w:t>
            </w:r>
          </w:p>
        </w:tc>
      </w:tr>
      <w:tr>
        <w:tc>
          <w:tcPr>
            <w:tcW w:type="dxa" w:w="2200"/>
            <w:shd w:fill="F2F2F2" w:val="clear"/>
            <w:tcMar>
              <w:top w:type="dxa" w:w="80"/>
              <w:left w:type="dxa" w:w="120"/>
              <w:bottom w:type="dxa" w:w="80"/>
              <w:right w:type="dxa" w:w="120"/>
            </w:tcMar>
          </w:tcPr>
          <w:p>
            <w:pPr>
              <w:jc w:val="left"/>
            </w:pPr>
            <w:r>
              <w:rPr>
                <w:b w:val="false"/>
                <w:bCs w:val="false"/>
                <w:color w:val="000000"/>
                <w:sz w:val="20"/>
                <w:szCs w:val="20"/>
              </w:rPr>
              <w:t xml:space="preserve">Trust (Accuracy)</w:t>
            </w:r>
          </w:p>
        </w:tc>
        <w:tc>
          <w:tcPr>
            <w:tcW w:type="dxa" w:w="1520"/>
            <w:shd w:fill="F2F2F2" w:val="clear"/>
            <w:tcMar>
              <w:top w:type="dxa" w:w="80"/>
              <w:left w:type="dxa" w:w="120"/>
              <w:bottom w:type="dxa" w:w="80"/>
              <w:right w:type="dxa" w:w="120"/>
            </w:tcMar>
          </w:tcPr>
          <w:p>
            <w:pPr>
              <w:jc w:val="center"/>
            </w:pPr>
            <w:r>
              <w:rPr>
                <w:b w:val="false"/>
                <w:bCs w:val="false"/>
                <w:color w:val="000000"/>
                <w:sz w:val="20"/>
                <w:szCs w:val="20"/>
              </w:rPr>
              <w:t xml:space="preserve">0.16</w:t>
            </w:r>
          </w:p>
        </w:tc>
        <w:tc>
          <w:tcPr>
            <w:tcW w:type="dxa" w:w="1560"/>
            <w:shd w:fill="F2F2F2" w:val="clear"/>
            <w:tcMar>
              <w:top w:type="dxa" w:w="80"/>
              <w:left w:type="dxa" w:w="120"/>
              <w:bottom w:type="dxa" w:w="80"/>
              <w:right w:type="dxa" w:w="120"/>
            </w:tcMar>
          </w:tcPr>
          <w:p>
            <w:pPr>
              <w:jc w:val="center"/>
            </w:pPr>
            <w:r>
              <w:rPr>
                <w:b w:val="false"/>
                <w:bCs w:val="false"/>
                <w:color w:val="000000"/>
                <w:sz w:val="20"/>
                <w:szCs w:val="20"/>
              </w:rPr>
              <w:t xml:space="preserve">0.33</w:t>
            </w:r>
          </w:p>
        </w:tc>
        <w:tc>
          <w:tcPr>
            <w:tcW w:type="dxa" w:w="1720"/>
            <w:shd w:fill="F2F2F2" w:val="clear"/>
            <w:tcMar>
              <w:top w:type="dxa" w:w="80"/>
              <w:left w:type="dxa" w:w="120"/>
              <w:bottom w:type="dxa" w:w="80"/>
              <w:right w:type="dxa" w:w="120"/>
            </w:tcMar>
          </w:tcPr>
          <w:p>
            <w:pPr>
              <w:jc w:val="center"/>
            </w:pPr>
            <w:r>
              <w:rPr>
                <w:b w:val="false"/>
                <w:bCs w:val="false"/>
                <w:color w:val="000000"/>
                <w:sz w:val="20"/>
                <w:szCs w:val="20"/>
              </w:rPr>
              <w:t xml:space="preserve">-0.06</w:t>
            </w:r>
          </w:p>
        </w:tc>
        <w:tc>
          <w:tcPr>
            <w:tcW w:type="dxa" w:w="1500"/>
            <w:shd w:fill="F2F2F2" w:val="clear"/>
            <w:tcMar>
              <w:top w:type="dxa" w:w="80"/>
              <w:left w:type="dxa" w:w="120"/>
              <w:bottom w:type="dxa" w:w="80"/>
              <w:right w:type="dxa" w:w="120"/>
            </w:tcMar>
          </w:tcPr>
          <w:p>
            <w:pPr>
              <w:jc w:val="center"/>
            </w:pPr>
            <w:r>
              <w:rPr>
                <w:b w:val="false"/>
                <w:bCs w:val="false"/>
                <w:color w:val="000000"/>
                <w:sz w:val="20"/>
                <w:szCs w:val="20"/>
              </w:rPr>
              <w:t xml:space="preserve">1.00</w:t>
            </w:r>
          </w:p>
        </w:tc>
        <w:tc>
          <w:tcPr>
            <w:shd w:fill="F2F2F2" w:val="clear"/>
            <w:tcMar>
              <w:top w:type="dxa" w:w="80"/>
              <w:left w:type="dxa" w:w="120"/>
              <w:bottom w:type="dxa" w:w="80"/>
              <w:right w:type="dxa" w:w="120"/>
            </w:tcMar>
          </w:tcPr>
          <w:p>
            <w:pPr>
              <w:jc w:val="center"/>
            </w:pPr>
            <w:r>
              <w:rPr>
                <w:b w:val="false"/>
                <w:bCs w:val="false"/>
                <w:color w:val="000000"/>
                <w:sz w:val="20"/>
                <w:szCs w:val="20"/>
              </w:rPr>
              <w:t xml:space="preserve">0.69</w:t>
            </w:r>
          </w:p>
        </w:tc>
      </w:tr>
      <w:tr>
        <w:tc>
          <w:tcPr>
            <w:tcW w:type="dxa" w:w="2200"/>
            <w:tcMar>
              <w:top w:type="dxa" w:w="80"/>
              <w:left w:type="dxa" w:w="120"/>
              <w:bottom w:type="dxa" w:w="80"/>
              <w:right w:type="dxa" w:w="120"/>
            </w:tcMar>
          </w:tcPr>
          <w:p>
            <w:pPr>
              <w:jc w:val="left"/>
            </w:pPr>
            <w:r>
              <w:rPr>
                <w:b w:val="false"/>
                <w:bCs w:val="false"/>
                <w:color w:val="000000"/>
                <w:sz w:val="20"/>
                <w:szCs w:val="20"/>
              </w:rPr>
              <w:t xml:space="preserve">Overall Exp.</w:t>
            </w:r>
          </w:p>
        </w:tc>
        <w:tc>
          <w:tcPr>
            <w:tcW w:type="dxa" w:w="1520"/>
            <w:tcMar>
              <w:top w:type="dxa" w:w="80"/>
              <w:left w:type="dxa" w:w="120"/>
              <w:bottom w:type="dxa" w:w="80"/>
              <w:right w:type="dxa" w:w="120"/>
            </w:tcMar>
          </w:tcPr>
          <w:p>
            <w:pPr>
              <w:jc w:val="center"/>
            </w:pPr>
            <w:r>
              <w:rPr>
                <w:b w:val="false"/>
                <w:bCs w:val="false"/>
                <w:color w:val="000000"/>
                <w:sz w:val="20"/>
                <w:szCs w:val="20"/>
              </w:rPr>
              <w:t xml:space="preserve">0.19</w:t>
            </w:r>
          </w:p>
        </w:tc>
        <w:tc>
          <w:tcPr>
            <w:tcW w:type="dxa" w:w="1560"/>
            <w:tcMar>
              <w:top w:type="dxa" w:w="80"/>
              <w:left w:type="dxa" w:w="120"/>
              <w:bottom w:type="dxa" w:w="80"/>
              <w:right w:type="dxa" w:w="120"/>
            </w:tcMar>
          </w:tcPr>
          <w:p>
            <w:pPr>
              <w:jc w:val="center"/>
            </w:pPr>
            <w:r>
              <w:rPr>
                <w:b w:val="false"/>
                <w:bCs w:val="false"/>
                <w:color w:val="000000"/>
                <w:sz w:val="20"/>
                <w:szCs w:val="20"/>
              </w:rPr>
              <w:t xml:space="preserve">0.53</w:t>
            </w:r>
          </w:p>
        </w:tc>
        <w:tc>
          <w:tcPr>
            <w:tcW w:type="dxa" w:w="1720"/>
            <w:tcMar>
              <w:top w:type="dxa" w:w="80"/>
              <w:left w:type="dxa" w:w="120"/>
              <w:bottom w:type="dxa" w:w="80"/>
              <w:right w:type="dxa" w:w="120"/>
            </w:tcMar>
          </w:tcPr>
          <w:p>
            <w:pPr>
              <w:jc w:val="center"/>
            </w:pPr>
            <w:r>
              <w:rPr>
                <w:b w:val="false"/>
                <w:bCs w:val="false"/>
                <w:color w:val="000000"/>
                <w:sz w:val="20"/>
                <w:szCs w:val="20"/>
              </w:rPr>
              <w:t xml:space="preserve">-0.02</w:t>
            </w:r>
          </w:p>
        </w:tc>
        <w:tc>
          <w:tcPr>
            <w:tcW w:type="dxa" w:w="1500"/>
            <w:tcMar>
              <w:top w:type="dxa" w:w="80"/>
              <w:left w:type="dxa" w:w="120"/>
              <w:bottom w:type="dxa" w:w="80"/>
              <w:right w:type="dxa" w:w="120"/>
            </w:tcMar>
          </w:tcPr>
          <w:p>
            <w:pPr>
              <w:jc w:val="center"/>
            </w:pPr>
            <w:r>
              <w:rPr>
                <w:b w:val="false"/>
                <w:bCs w:val="false"/>
                <w:color w:val="000000"/>
                <w:sz w:val="20"/>
                <w:szCs w:val="20"/>
              </w:rPr>
              <w:t xml:space="preserve">0.69</w:t>
            </w:r>
          </w:p>
        </w:tc>
        <w:tc>
          <w:tcPr>
            <w:tcMar>
              <w:top w:type="dxa" w:w="80"/>
              <w:left w:type="dxa" w:w="120"/>
              <w:bottom w:type="dxa" w:w="80"/>
              <w:right w:type="dxa" w:w="120"/>
            </w:tcMar>
          </w:tcPr>
          <w:p>
            <w:pPr>
              <w:jc w:val="center"/>
            </w:pPr>
            <w:r>
              <w:rPr>
                <w:b w:val="false"/>
                <w:bCs w:val="false"/>
                <w:color w:val="000000"/>
                <w:sz w:val="20"/>
                <w:szCs w:val="20"/>
              </w:rPr>
              <w:t xml:space="preserve">1.00</w:t>
            </w:r>
          </w:p>
        </w:tc>
      </w:tr>
    </w:tbl>
    <w:p>
      <w:pPr>
        <w:spacing w:after="160" w:line="276"/>
      </w:pPr>
      <w:r>
        <w:t xml:space="preserve"/>
      </w:r>
    </w:p>
    <w:p>
      <w:pPr>
        <w:pStyle w:val="ListParagraph"/>
        <w:numPr>
          <w:ilvl w:val="0"/>
          <w:numId w:val="1"/>
        </w:numPr>
        <w:spacing w:after="80"/>
      </w:pPr>
      <w:r>
        <w:rPr>
          <w:b/>
          <w:bCs/>
        </w:rPr>
        <w:t xml:space="preserve">Trust ↔ Overall Experience (r ≈ 0.69): </w:t>
      </w:r>
      <w:r>
        <w:t xml:space="preserve">the strongest relationship in the data — students who trust the accuracy of digital tools rate their overall experience far more positively.</w:t>
      </w:r>
    </w:p>
    <w:p>
      <w:pPr>
        <w:pStyle w:val="ListParagraph"/>
        <w:numPr>
          <w:ilvl w:val="0"/>
          <w:numId w:val="1"/>
        </w:numPr>
        <w:spacing w:after="80"/>
      </w:pPr>
      <w:r>
        <w:rPr>
          <w:b/>
          <w:bCs/>
        </w:rPr>
        <w:t xml:space="preserve">Usage Frequency ↔ Overall Experience (r ≈ 0.53): </w:t>
      </w:r>
      <w:r>
        <w:t xml:space="preserve">students who use digital tools more often also tend to report a better overall experience.</w:t>
      </w:r>
    </w:p>
    <w:p>
      <w:pPr>
        <w:pStyle w:val="ListParagraph"/>
        <w:numPr>
          <w:ilvl w:val="0"/>
          <w:numId w:val="1"/>
        </w:numPr>
        <w:spacing w:after="80"/>
      </w:pPr>
      <w:r>
        <w:rPr>
          <w:b/>
          <w:bCs/>
        </w:rPr>
        <w:t xml:space="preserve">Age and Helpfulness </w:t>
      </w:r>
      <w:r>
        <w:t xml:space="preserve">show negligible correlation with the other variables, suggesting experience quality is driven more by trust and habit than by age or a simple helpfulness rating.</w:t>
      </w:r>
    </w:p>
    <w:p>
      <w:pPr>
        <w:pStyle w:val="Heading1"/>
        <w:pBdr>
          <w:bottom w:val="single" w:color="1F3864" w:sz="6" w:space="4"/>
        </w:pBdr>
        <w:spacing w:after="160" w:before="360"/>
      </w:pPr>
      <w:r>
        <w:rPr>
          <w:b/>
          <w:bCs/>
          <w:color w:val="1F3864"/>
        </w:rPr>
        <w:t xml:space="preserve">Step 14 — Summary of Key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3864" w:val="clear"/>
            <w:tcMar>
              <w:top w:type="dxa" w:w="80"/>
              <w:left w:type="dxa" w:w="120"/>
              <w:bottom w:type="dxa" w:w="80"/>
              <w:right w:type="dxa" w:w="120"/>
            </w:tcMar>
          </w:tcPr>
          <w:p>
            <w:pPr>
              <w:jc w:val="center"/>
            </w:pPr>
            <w:r>
              <w:rPr>
                <w:b/>
                <w:bCs/>
                <w:color w:val="FFFFFF"/>
                <w:sz w:val="20"/>
                <w:szCs w:val="20"/>
              </w:rPr>
              <w:t xml:space="preserve">Metric</w:t>
            </w:r>
          </w:p>
        </w:tc>
        <w:tc>
          <w:tcPr>
            <w:tcW w:type="dxa" w:w="4200"/>
            <w:shd w:fill="1F3864" w:val="clear"/>
            <w:tcMar>
              <w:top w:type="dxa" w:w="80"/>
              <w:left w:type="dxa" w:w="120"/>
              <w:bottom w:type="dxa" w:w="80"/>
              <w:right w:type="dxa" w:w="120"/>
            </w:tcMar>
          </w:tcPr>
          <w:p>
            <w:pPr>
              <w:jc w:val="center"/>
            </w:pPr>
            <w:r>
              <w:rPr>
                <w:b/>
                <w:bCs/>
                <w:color w:val="FFFFFF"/>
                <w:sz w:val="20"/>
                <w:szCs w:val="20"/>
              </w:rPr>
              <w:t xml:space="preserve">Result</w:t>
            </w:r>
          </w:p>
        </w:tc>
      </w:tr>
      <w:tr>
        <w:tc>
          <w:tcPr>
            <w:tcW w:type="dxa" w:w="4800"/>
            <w:tcMar>
              <w:top w:type="dxa" w:w="80"/>
              <w:left w:type="dxa" w:w="120"/>
              <w:bottom w:type="dxa" w:w="80"/>
              <w:right w:type="dxa" w:w="120"/>
            </w:tcMar>
          </w:tcPr>
          <w:p>
            <w:pPr>
              <w:jc w:val="left"/>
            </w:pPr>
            <w:r>
              <w:rPr>
                <w:b w:val="false"/>
                <w:bCs w:val="false"/>
                <w:color w:val="000000"/>
                <w:sz w:val="20"/>
                <w:szCs w:val="20"/>
              </w:rPr>
              <w:t xml:space="preserve">Total respondents</w:t>
            </w:r>
          </w:p>
        </w:tc>
        <w:tc>
          <w:tcPr>
            <w:tcW w:type="dxa" w:w="4200"/>
            <w:tcMar>
              <w:top w:type="dxa" w:w="80"/>
              <w:left w:type="dxa" w:w="120"/>
              <w:bottom w:type="dxa" w:w="80"/>
              <w:right w:type="dxa" w:w="120"/>
            </w:tcMar>
          </w:tcPr>
          <w:p>
            <w:pPr>
              <w:jc w:val="center"/>
            </w:pPr>
            <w:r>
              <w:rPr>
                <w:b w:val="false"/>
                <w:bCs w:val="false"/>
                <w:color w:val="000000"/>
                <w:sz w:val="20"/>
                <w:szCs w:val="20"/>
              </w:rPr>
              <w:t xml:space="preserve">69</w:t>
            </w:r>
          </w:p>
        </w:tc>
      </w:tr>
      <w:tr>
        <w:tc>
          <w:tcPr>
            <w:tcW w:type="dxa" w:w="4800"/>
            <w:shd w:fill="F2F2F2" w:val="clear"/>
            <w:tcMar>
              <w:top w:type="dxa" w:w="80"/>
              <w:left w:type="dxa" w:w="120"/>
              <w:bottom w:type="dxa" w:w="80"/>
              <w:right w:type="dxa" w:w="120"/>
            </w:tcMar>
          </w:tcPr>
          <w:p>
            <w:pPr>
              <w:jc w:val="left"/>
            </w:pPr>
            <w:r>
              <w:rPr>
                <w:b w:val="false"/>
                <w:bCs w:val="false"/>
                <w:color w:val="000000"/>
                <w:sz w:val="20"/>
                <w:szCs w:val="20"/>
              </w:rPr>
              <w:t xml:space="preserve">Average age</w:t>
            </w:r>
          </w:p>
        </w:tc>
        <w:tc>
          <w:tcPr>
            <w:tcW w:type="dxa" w:w="4200"/>
            <w:shd w:fill="F2F2F2" w:val="clear"/>
            <w:tcMar>
              <w:top w:type="dxa" w:w="80"/>
              <w:left w:type="dxa" w:w="120"/>
              <w:bottom w:type="dxa" w:w="80"/>
              <w:right w:type="dxa" w:w="120"/>
            </w:tcMar>
          </w:tcPr>
          <w:p>
            <w:pPr>
              <w:jc w:val="center"/>
            </w:pPr>
            <w:r>
              <w:rPr>
                <w:b w:val="false"/>
                <w:bCs w:val="false"/>
                <w:color w:val="000000"/>
                <w:sz w:val="20"/>
                <w:szCs w:val="20"/>
              </w:rPr>
              <w:t xml:space="preserve">19.9 years (range 18–26)</w:t>
            </w:r>
          </w:p>
        </w:tc>
      </w:tr>
      <w:tr>
        <w:tc>
          <w:tcPr>
            <w:tcW w:type="dxa" w:w="4800"/>
            <w:tcMar>
              <w:top w:type="dxa" w:w="80"/>
              <w:left w:type="dxa" w:w="120"/>
              <w:bottom w:type="dxa" w:w="80"/>
              <w:right w:type="dxa" w:w="120"/>
            </w:tcMar>
          </w:tcPr>
          <w:p>
            <w:pPr>
              <w:jc w:val="left"/>
            </w:pPr>
            <w:r>
              <w:rPr>
                <w:b w:val="false"/>
                <w:bCs w:val="false"/>
                <w:color w:val="000000"/>
                <w:sz w:val="20"/>
                <w:szCs w:val="20"/>
              </w:rPr>
              <w:t xml:space="preserve">Use digital learning tools</w:t>
            </w:r>
          </w:p>
        </w:tc>
        <w:tc>
          <w:tcPr>
            <w:tcW w:type="dxa" w:w="4200"/>
            <w:tcMar>
              <w:top w:type="dxa" w:w="80"/>
              <w:left w:type="dxa" w:w="120"/>
              <w:bottom w:type="dxa" w:w="80"/>
              <w:right w:type="dxa" w:w="120"/>
            </w:tcMar>
          </w:tcPr>
          <w:p>
            <w:pPr>
              <w:jc w:val="center"/>
            </w:pPr>
            <w:r>
              <w:rPr>
                <w:b w:val="false"/>
                <w:bCs w:val="false"/>
                <w:color w:val="000000"/>
                <w:sz w:val="20"/>
                <w:szCs w:val="20"/>
              </w:rPr>
              <w:t xml:space="preserve">94.2%</w:t>
            </w:r>
          </w:p>
        </w:tc>
      </w:tr>
      <w:tr>
        <w:tc>
          <w:tcPr>
            <w:tcW w:type="dxa" w:w="4800"/>
            <w:shd w:fill="F2F2F2" w:val="clear"/>
            <w:tcMar>
              <w:top w:type="dxa" w:w="80"/>
              <w:left w:type="dxa" w:w="120"/>
              <w:bottom w:type="dxa" w:w="80"/>
              <w:right w:type="dxa" w:w="120"/>
            </w:tcMar>
          </w:tcPr>
          <w:p>
            <w:pPr>
              <w:jc w:val="left"/>
            </w:pPr>
            <w:r>
              <w:rPr>
                <w:b w:val="false"/>
                <w:bCs w:val="false"/>
                <w:color w:val="000000"/>
                <w:sz w:val="20"/>
                <w:szCs w:val="20"/>
              </w:rPr>
              <w:t xml:space="preserve">Use tools Daily / 4–6 days a week</w:t>
            </w:r>
          </w:p>
        </w:tc>
        <w:tc>
          <w:tcPr>
            <w:tcW w:type="dxa" w:w="4200"/>
            <w:shd w:fill="F2F2F2" w:val="clear"/>
            <w:tcMar>
              <w:top w:type="dxa" w:w="80"/>
              <w:left w:type="dxa" w:w="120"/>
              <w:bottom w:type="dxa" w:w="80"/>
              <w:right w:type="dxa" w:w="120"/>
            </w:tcMar>
          </w:tcPr>
          <w:p>
            <w:pPr>
              <w:jc w:val="center"/>
            </w:pPr>
            <w:r>
              <w:rPr>
                <w:b w:val="false"/>
                <w:bCs w:val="false"/>
                <w:color w:val="000000"/>
                <w:sz w:val="20"/>
                <w:szCs w:val="20"/>
              </w:rPr>
              <w:t xml:space="preserve">79.7%</w:t>
            </w:r>
          </w:p>
        </w:tc>
      </w:tr>
      <w:tr>
        <w:tc>
          <w:tcPr>
            <w:tcW w:type="dxa" w:w="4800"/>
            <w:tcMar>
              <w:top w:type="dxa" w:w="80"/>
              <w:left w:type="dxa" w:w="120"/>
              <w:bottom w:type="dxa" w:w="80"/>
              <w:right w:type="dxa" w:w="120"/>
            </w:tcMar>
          </w:tcPr>
          <w:p>
            <w:pPr>
              <w:jc w:val="left"/>
            </w:pPr>
            <w:r>
              <w:rPr>
                <w:b w:val="false"/>
                <w:bCs w:val="false"/>
                <w:color w:val="000000"/>
                <w:sz w:val="20"/>
                <w:szCs w:val="20"/>
              </w:rPr>
              <w:t xml:space="preserve">Most used tools</w:t>
            </w:r>
          </w:p>
        </w:tc>
        <w:tc>
          <w:tcPr>
            <w:tcW w:type="dxa" w:w="4200"/>
            <w:tcMar>
              <w:top w:type="dxa" w:w="80"/>
              <w:left w:type="dxa" w:w="120"/>
              <w:bottom w:type="dxa" w:w="80"/>
              <w:right w:type="dxa" w:w="120"/>
            </w:tcMar>
          </w:tcPr>
          <w:p>
            <w:pPr>
              <w:jc w:val="center"/>
            </w:pPr>
            <w:r>
              <w:rPr>
                <w:b w:val="false"/>
                <w:bCs w:val="false"/>
                <w:color w:val="000000"/>
                <w:sz w:val="20"/>
                <w:szCs w:val="20"/>
              </w:rPr>
              <w:t xml:space="preserve">YouTube &amp; ChatGPT/AI tools (47 each)</w:t>
            </w:r>
          </w:p>
        </w:tc>
      </w:tr>
      <w:tr>
        <w:tc>
          <w:tcPr>
            <w:tcW w:type="dxa" w:w="4800"/>
            <w:shd w:fill="F2F2F2" w:val="clear"/>
            <w:tcMar>
              <w:top w:type="dxa" w:w="80"/>
              <w:left w:type="dxa" w:w="120"/>
              <w:bottom w:type="dxa" w:w="80"/>
              <w:right w:type="dxa" w:w="120"/>
            </w:tcMar>
          </w:tcPr>
          <w:p>
            <w:pPr>
              <w:jc w:val="left"/>
            </w:pPr>
            <w:r>
              <w:rPr>
                <w:b w:val="false"/>
                <w:bCs w:val="false"/>
                <w:color w:val="000000"/>
                <w:sz w:val="20"/>
                <w:szCs w:val="20"/>
              </w:rPr>
              <w:t xml:space="preserve">Find tools Very/Extremely helpful</w:t>
            </w:r>
          </w:p>
        </w:tc>
        <w:tc>
          <w:tcPr>
            <w:tcW w:type="dxa" w:w="4200"/>
            <w:shd w:fill="F2F2F2" w:val="clear"/>
            <w:tcMar>
              <w:top w:type="dxa" w:w="80"/>
              <w:left w:type="dxa" w:w="120"/>
              <w:bottom w:type="dxa" w:w="80"/>
              <w:right w:type="dxa" w:w="120"/>
            </w:tcMar>
          </w:tcPr>
          <w:p>
            <w:pPr>
              <w:jc w:val="center"/>
            </w:pPr>
            <w:r>
              <w:rPr>
                <w:b w:val="false"/>
                <w:bCs w:val="false"/>
                <w:color w:val="000000"/>
                <w:sz w:val="20"/>
                <w:szCs w:val="20"/>
              </w:rPr>
              <w:t xml:space="preserve">71.0%</w:t>
            </w:r>
          </w:p>
        </w:tc>
      </w:tr>
      <w:tr>
        <w:tc>
          <w:tcPr>
            <w:tcW w:type="dxa" w:w="4800"/>
            <w:tcMar>
              <w:top w:type="dxa" w:w="80"/>
              <w:left w:type="dxa" w:w="120"/>
              <w:bottom w:type="dxa" w:w="80"/>
              <w:right w:type="dxa" w:w="120"/>
            </w:tcMar>
          </w:tcPr>
          <w:p>
            <w:pPr>
              <w:jc w:val="left"/>
            </w:pPr>
            <w:r>
              <w:rPr>
                <w:b w:val="false"/>
                <w:bCs w:val="false"/>
                <w:color w:val="000000"/>
                <w:sz w:val="20"/>
                <w:szCs w:val="20"/>
              </w:rPr>
              <w:t xml:space="preserve">Top reported benefit</w:t>
            </w:r>
          </w:p>
        </w:tc>
        <w:tc>
          <w:tcPr>
            <w:tcW w:type="dxa" w:w="4200"/>
            <w:tcMar>
              <w:top w:type="dxa" w:w="80"/>
              <w:left w:type="dxa" w:w="120"/>
              <w:bottom w:type="dxa" w:w="80"/>
              <w:right w:type="dxa" w:w="120"/>
            </w:tcMar>
          </w:tcPr>
          <w:p>
            <w:pPr>
              <w:jc w:val="center"/>
            </w:pPr>
            <w:r>
              <w:rPr>
                <w:b w:val="false"/>
                <w:bCs w:val="false"/>
                <w:color w:val="000000"/>
                <w:sz w:val="20"/>
                <w:szCs w:val="20"/>
              </w:rPr>
              <w:t xml:space="preserve">All-round benefit / Better understanding of difficult topics</w:t>
            </w:r>
          </w:p>
        </w:tc>
      </w:tr>
      <w:tr>
        <w:tc>
          <w:tcPr>
            <w:tcW w:type="dxa" w:w="4800"/>
            <w:shd w:fill="F2F2F2" w:val="clear"/>
            <w:tcMar>
              <w:top w:type="dxa" w:w="80"/>
              <w:left w:type="dxa" w:w="120"/>
              <w:bottom w:type="dxa" w:w="80"/>
              <w:right w:type="dxa" w:w="120"/>
            </w:tcMar>
          </w:tcPr>
          <w:p>
            <w:pPr>
              <w:jc w:val="left"/>
            </w:pPr>
            <w:r>
              <w:rPr>
                <w:b w:val="false"/>
                <w:bCs w:val="false"/>
                <w:color w:val="000000"/>
                <w:sz w:val="20"/>
                <w:szCs w:val="20"/>
              </w:rPr>
              <w:t xml:space="preserve">Top problem faced</w:t>
            </w:r>
          </w:p>
        </w:tc>
        <w:tc>
          <w:tcPr>
            <w:tcW w:type="dxa" w:w="4200"/>
            <w:shd w:fill="F2F2F2" w:val="clear"/>
            <w:tcMar>
              <w:top w:type="dxa" w:w="80"/>
              <w:left w:type="dxa" w:w="120"/>
              <w:bottom w:type="dxa" w:w="80"/>
              <w:right w:type="dxa" w:w="120"/>
            </w:tcMar>
          </w:tcPr>
          <w:p>
            <w:pPr>
              <w:jc w:val="center"/>
            </w:pPr>
            <w:r>
              <w:rPr>
                <w:b w:val="false"/>
                <w:bCs w:val="false"/>
                <w:color w:val="000000"/>
                <w:sz w:val="20"/>
                <w:szCs w:val="20"/>
              </w:rPr>
              <w:t xml:space="preserve">Paid/Limited features</w:t>
            </w:r>
          </w:p>
        </w:tc>
      </w:tr>
      <w:tr>
        <w:tc>
          <w:tcPr>
            <w:tcW w:type="dxa" w:w="4800"/>
            <w:tcMar>
              <w:top w:type="dxa" w:w="80"/>
              <w:left w:type="dxa" w:w="120"/>
              <w:bottom w:type="dxa" w:w="80"/>
              <w:right w:type="dxa" w:w="120"/>
            </w:tcMar>
          </w:tcPr>
          <w:p>
            <w:pPr>
              <w:jc w:val="left"/>
            </w:pPr>
            <w:r>
              <w:rPr>
                <w:b w:val="false"/>
                <w:bCs w:val="false"/>
                <w:color w:val="000000"/>
                <w:sz w:val="20"/>
                <w:szCs w:val="20"/>
              </w:rPr>
              <w:t xml:space="preserve">Most used device</w:t>
            </w:r>
          </w:p>
        </w:tc>
        <w:tc>
          <w:tcPr>
            <w:tcW w:type="dxa" w:w="4200"/>
            <w:tcMar>
              <w:top w:type="dxa" w:w="80"/>
              <w:left w:type="dxa" w:w="120"/>
              <w:bottom w:type="dxa" w:w="80"/>
              <w:right w:type="dxa" w:w="120"/>
            </w:tcMar>
          </w:tcPr>
          <w:p>
            <w:pPr>
              <w:jc w:val="center"/>
            </w:pPr>
            <w:r>
              <w:rPr>
                <w:b w:val="false"/>
                <w:bCs w:val="false"/>
                <w:color w:val="000000"/>
                <w:sz w:val="20"/>
                <w:szCs w:val="20"/>
              </w:rPr>
              <w:t xml:space="preserve">Smartphone (53.6%)</w:t>
            </w:r>
          </w:p>
        </w:tc>
      </w:tr>
      <w:tr>
        <w:tc>
          <w:tcPr>
            <w:tcW w:type="dxa" w:w="4800"/>
            <w:shd w:fill="F2F2F2" w:val="clear"/>
            <w:tcMar>
              <w:top w:type="dxa" w:w="80"/>
              <w:left w:type="dxa" w:w="120"/>
              <w:bottom w:type="dxa" w:w="80"/>
              <w:right w:type="dxa" w:w="120"/>
            </w:tcMar>
          </w:tcPr>
          <w:p>
            <w:pPr>
              <w:jc w:val="left"/>
            </w:pPr>
            <w:r>
              <w:rPr>
                <w:b w:val="false"/>
                <w:bCs w:val="false"/>
                <w:color w:val="000000"/>
                <w:sz w:val="20"/>
                <w:szCs w:val="20"/>
              </w:rPr>
              <w:t xml:space="preserve">Rate overall experience Good/Excellent</w:t>
            </w:r>
          </w:p>
        </w:tc>
        <w:tc>
          <w:tcPr>
            <w:tcW w:type="dxa" w:w="4200"/>
            <w:shd w:fill="F2F2F2" w:val="clear"/>
            <w:tcMar>
              <w:top w:type="dxa" w:w="80"/>
              <w:left w:type="dxa" w:w="120"/>
              <w:bottom w:type="dxa" w:w="80"/>
              <w:right w:type="dxa" w:w="120"/>
            </w:tcMar>
          </w:tcPr>
          <w:p>
            <w:pPr>
              <w:jc w:val="center"/>
            </w:pPr>
            <w:r>
              <w:rPr>
                <w:b w:val="false"/>
                <w:bCs w:val="false"/>
                <w:color w:val="000000"/>
                <w:sz w:val="20"/>
                <w:szCs w:val="20"/>
              </w:rPr>
              <w:t xml:space="preserve">82.6%</w:t>
            </w:r>
          </w:p>
        </w:tc>
      </w:tr>
      <w:tr>
        <w:tc>
          <w:tcPr>
            <w:tcW w:type="dxa" w:w="4800"/>
            <w:tcMar>
              <w:top w:type="dxa" w:w="80"/>
              <w:left w:type="dxa" w:w="120"/>
              <w:bottom w:type="dxa" w:w="80"/>
              <w:right w:type="dxa" w:w="120"/>
            </w:tcMar>
          </w:tcPr>
          <w:p>
            <w:pPr>
              <w:jc w:val="left"/>
            </w:pPr>
            <w:r>
              <w:rPr>
                <w:b w:val="false"/>
                <w:bCs w:val="false"/>
                <w:color w:val="000000"/>
                <w:sz w:val="20"/>
                <w:szCs w:val="20"/>
              </w:rPr>
              <w:t xml:space="preserve">Top purpose for using AI tools</w:t>
            </w:r>
          </w:p>
        </w:tc>
        <w:tc>
          <w:tcPr>
            <w:tcW w:type="dxa" w:w="4200"/>
            <w:tcMar>
              <w:top w:type="dxa" w:w="80"/>
              <w:left w:type="dxa" w:w="120"/>
              <w:bottom w:type="dxa" w:w="80"/>
              <w:right w:type="dxa" w:w="120"/>
            </w:tcMar>
          </w:tcPr>
          <w:p>
            <w:pPr>
              <w:jc w:val="center"/>
            </w:pPr>
            <w:r>
              <w:rPr>
                <w:b w:val="false"/>
                <w:bCs w:val="false"/>
                <w:color w:val="000000"/>
                <w:sz w:val="20"/>
                <w:szCs w:val="20"/>
              </w:rPr>
              <w:t xml:space="preserve">Clearing doubts &amp; complex concepts</w:t>
            </w:r>
          </w:p>
        </w:tc>
      </w:tr>
      <w:tr>
        <w:tc>
          <w:tcPr>
            <w:tcW w:type="dxa" w:w="4800"/>
            <w:shd w:fill="F2F2F2" w:val="clear"/>
            <w:tcMar>
              <w:top w:type="dxa" w:w="80"/>
              <w:left w:type="dxa" w:w="120"/>
              <w:bottom w:type="dxa" w:w="80"/>
              <w:right w:type="dxa" w:w="120"/>
            </w:tcMar>
          </w:tcPr>
          <w:p>
            <w:pPr>
              <w:jc w:val="left"/>
            </w:pPr>
            <w:r>
              <w:rPr>
                <w:b w:val="false"/>
                <w:bCs w:val="false"/>
                <w:color w:val="000000"/>
                <w:sz w:val="20"/>
                <w:szCs w:val="20"/>
              </w:rPr>
              <w:t xml:space="preserve">Correlation: Usage frequency ↔ Experience</w:t>
            </w:r>
          </w:p>
        </w:tc>
        <w:tc>
          <w:tcPr>
            <w:tcW w:type="dxa" w:w="4200"/>
            <w:shd w:fill="F2F2F2" w:val="clear"/>
            <w:tcMar>
              <w:top w:type="dxa" w:w="80"/>
              <w:left w:type="dxa" w:w="120"/>
              <w:bottom w:type="dxa" w:w="80"/>
              <w:right w:type="dxa" w:w="120"/>
            </w:tcMar>
          </w:tcPr>
          <w:p>
            <w:pPr>
              <w:jc w:val="center"/>
            </w:pPr>
            <w:r>
              <w:rPr>
                <w:b w:val="false"/>
                <w:bCs w:val="false"/>
                <w:color w:val="000000"/>
                <w:sz w:val="20"/>
                <w:szCs w:val="20"/>
              </w:rPr>
              <w:t xml:space="preserve">r ≈ 0.53</w:t>
            </w:r>
          </w:p>
        </w:tc>
      </w:tr>
      <w:tr>
        <w:tc>
          <w:tcPr>
            <w:tcW w:type="dxa" w:w="4800"/>
            <w:tcMar>
              <w:top w:type="dxa" w:w="80"/>
              <w:left w:type="dxa" w:w="120"/>
              <w:bottom w:type="dxa" w:w="80"/>
              <w:right w:type="dxa" w:w="120"/>
            </w:tcMar>
          </w:tcPr>
          <w:p>
            <w:pPr>
              <w:jc w:val="left"/>
            </w:pPr>
            <w:r>
              <w:rPr>
                <w:b w:val="false"/>
                <w:bCs w:val="false"/>
                <w:color w:val="000000"/>
                <w:sz w:val="20"/>
                <w:szCs w:val="20"/>
              </w:rPr>
              <w:t xml:space="preserve">Correlation: Trust in accuracy ↔ Experience</w:t>
            </w:r>
          </w:p>
        </w:tc>
        <w:tc>
          <w:tcPr>
            <w:tcW w:type="dxa" w:w="4200"/>
            <w:tcMar>
              <w:top w:type="dxa" w:w="80"/>
              <w:left w:type="dxa" w:w="120"/>
              <w:bottom w:type="dxa" w:w="80"/>
              <w:right w:type="dxa" w:w="120"/>
            </w:tcMar>
          </w:tcPr>
          <w:p>
            <w:pPr>
              <w:jc w:val="center"/>
            </w:pPr>
            <w:r>
              <w:rPr>
                <w:b w:val="false"/>
                <w:bCs w:val="false"/>
                <w:color w:val="000000"/>
                <w:sz w:val="20"/>
                <w:szCs w:val="20"/>
              </w:rPr>
              <w:t xml:space="preserve">r ≈ 0.69</w:t>
            </w:r>
          </w:p>
        </w:tc>
      </w:tr>
    </w:tbl>
    <w:p>
      <w:pPr>
        <w:pStyle w:val="Heading1"/>
        <w:pBdr>
          <w:bottom w:val="single" w:color="1F3864" w:sz="6" w:space="4"/>
        </w:pBdr>
        <w:spacing w:after="160" w:before="360"/>
      </w:pPr>
      <w:r>
        <w:rPr>
          <w:b/>
          <w:bCs/>
          <w:color w:val="1F3864"/>
        </w:rPr>
        <w:t xml:space="preserve">Step 15 — Limitations of the Study</w:t>
      </w:r>
    </w:p>
    <w:p>
      <w:pPr>
        <w:pStyle w:val="ListParagraph"/>
        <w:numPr>
          <w:ilvl w:val="0"/>
          <w:numId w:val="2"/>
        </w:numPr>
        <w:spacing w:after="80"/>
      </w:pPr>
      <w:r>
        <w:t xml:space="preserve">The study is limited to students who responded to the online survey.</w:t>
      </w:r>
    </w:p>
    <w:p>
      <w:pPr>
        <w:pStyle w:val="ListParagraph"/>
        <w:numPr>
          <w:ilvl w:val="0"/>
          <w:numId w:val="2"/>
        </w:numPr>
        <w:spacing w:after="80"/>
      </w:pPr>
      <w:r>
        <w:t xml:space="preserve">The accuracy of the results depends on the honesty of respondents.</w:t>
      </w:r>
    </w:p>
    <w:p>
      <w:pPr>
        <w:pStyle w:val="ListParagraph"/>
        <w:numPr>
          <w:ilvl w:val="0"/>
          <w:numId w:val="2"/>
        </w:numPr>
        <w:spacing w:after="80"/>
      </w:pPr>
      <w:r>
        <w:t xml:space="preserve">The sample size (69) may not represent all college students.</w:t>
      </w:r>
    </w:p>
    <w:p>
      <w:pPr>
        <w:pStyle w:val="ListParagraph"/>
        <w:numPr>
          <w:ilvl w:val="0"/>
          <w:numId w:val="2"/>
        </w:numPr>
        <w:spacing w:after="80"/>
      </w:pPr>
      <w:r>
        <w:t xml:space="preserve">Students from different colleges and backgrounds may have different digital learning experiences — over 60% of the sample is concentrated in SY/TY Data Science and Computer Science courses.</w:t>
      </w:r>
    </w:p>
    <w:p>
      <w:pPr>
        <w:pStyle w:val="ListParagraph"/>
        <w:numPr>
          <w:ilvl w:val="0"/>
          <w:numId w:val="2"/>
        </w:numPr>
        <w:spacing w:after="80"/>
      </w:pPr>
      <w:r>
        <w:t xml:space="preserve">The study focuses mainly on students' self-reported perceptions and usage patterns rather than objective/measured academic performance.</w:t>
      </w:r>
    </w:p>
    <w:p>
      <w:pPr>
        <w:pStyle w:val="Heading1"/>
        <w:pBdr>
          <w:bottom w:val="single" w:color="1F3864" w:sz="6" w:space="4"/>
        </w:pBdr>
        <w:spacing w:after="160" w:before="360"/>
      </w:pPr>
      <w:r>
        <w:rPr>
          <w:b/>
          <w:bCs/>
          <w:color w:val="1F3864"/>
        </w:rPr>
        <w:t xml:space="preserve">Step 16 — Conclusion</w:t>
      </w:r>
    </w:p>
    <w:p>
      <w:pPr>
        <w:spacing w:after="160" w:line="276"/>
      </w:pPr>
      <w:r>
        <w:t xml:space="preserve">The "Survey on Digital Learning Tools Usage Among College Students" set out to understand the role of digital technology in students' academic lives. The analysis of 69 responses shows that digital learning tools have near-universal adoption (94.2%) among the surveyed students, with the majority using them daily or almost daily and spending 30 minutes to 2 hours a day on them.</w:t>
      </w:r>
    </w:p>
    <w:p>
      <w:pPr>
        <w:spacing w:after="160" w:line="276"/>
      </w:pPr>
      <w:r>
        <w:t xml:space="preserve">YouTube and ChatGPT/AI tools dominate the tool landscape, and AI tools are used mainly to clear doubts on complex concepts and for coding/assignment help. Perceived helpfulness and overall experience are strongly positive — 71% find the tools Very/Extremely helpful and 82.6% rate their overall experience as Good or Excellent. Overall experience correlates most closely with trust in the accuracy of the information (r ≈ 0.69) and with usage frequency (r ≈ 0.53), indicating that students who use these tools more, and trust them more, rate their experience higher.</w:t>
      </w:r>
    </w:p>
    <w:p>
      <w:pPr>
        <w:spacing w:after="160" w:line="276"/>
      </w:pPr>
      <w:r>
        <w:t xml:space="preserve">The main friction points are paid/limited features and internet connectivity issues, suggesting that affordability and access — not tool quality — remain the biggest barriers to digital learning. Cost perception itself is split roughly evenly between digital tools being seen as more expensive, cheaper, or about the same as offline learning, with opinion on which is "costlier" divided almost equally among digital tools, offline learning, and "it depends on the course/institute".</w:t>
      </w:r>
    </w:p>
    <w:p>
      <w:pPr>
        <w:spacing w:after="160" w:line="276"/>
      </w:pPr>
      <w:r>
        <w:t xml:space="preserve">These findings can help educators and institutions understand how students actually use digital technology in their studies, and highlight two priorities for improving digital learning support: (a) improving access to free/affordable tiers of key tools, and (b) improving and communicating the accuracy/reliability of AI-based learning tools, since trust is the single strongest driver of a positive learning experience.</w:t>
      </w:r>
    </w:p>
    <w:p>
      <w:pPr>
        <w:pStyle w:val="Heading1"/>
        <w:pBdr>
          <w:bottom w:val="single" w:color="1F3864" w:sz="6" w:space="4"/>
        </w:pBdr>
        <w:spacing w:after="160" w:before="360"/>
      </w:pPr>
      <w:r>
        <w:rPr>
          <w:b/>
          <w:bCs/>
          <w:color w:val="1F3864"/>
        </w:rPr>
        <w:t xml:space="preserve">Step 17 — Recommendations</w:t>
      </w:r>
    </w:p>
    <w:p>
      <w:pPr>
        <w:pStyle w:val="ListParagraph"/>
        <w:numPr>
          <w:ilvl w:val="0"/>
          <w:numId w:val="1"/>
        </w:numPr>
        <w:spacing w:after="80"/>
      </w:pPr>
      <w:r>
        <w:t xml:space="preserve">Institutions could negotiate discounted or campus-wide licenses for the most-used paid tools to address the "Paid/Limited features" barrier reported by 41 of 69 students.</w:t>
      </w:r>
    </w:p>
    <w:p>
      <w:pPr>
        <w:pStyle w:val="ListParagraph"/>
        <w:numPr>
          <w:ilvl w:val="0"/>
          <w:numId w:val="1"/>
        </w:numPr>
        <w:spacing w:after="80"/>
      </w:pPr>
      <w:r>
        <w:t xml:space="preserve">Improving campus Wi-Fi/internet access would directly address the second most common problem (connectivity issues, 17 respondents).</w:t>
      </w:r>
    </w:p>
    <w:p>
      <w:pPr>
        <w:pStyle w:val="ListParagraph"/>
        <w:numPr>
          <w:ilvl w:val="0"/>
          <w:numId w:val="1"/>
        </w:numPr>
        <w:spacing w:after="80"/>
      </w:pPr>
      <w:r>
        <w:t xml:space="preserve">Given the strong link between trust and experience (r ≈ 0.69), students would benefit from guidance on verifying AI-generated answers, and instructors could recommend vetted AI/education tools.</w:t>
      </w:r>
    </w:p>
    <w:p>
      <w:pPr>
        <w:pStyle w:val="ListParagraph"/>
        <w:numPr>
          <w:ilvl w:val="0"/>
          <w:numId w:val="1"/>
        </w:numPr>
        <w:spacing w:after="80"/>
      </w:pPr>
      <w:r>
        <w:t xml:space="preserve">Since ChatGPT/AI tools are used heavily for coding help and clearing doubts, structured AI-literacy sessions could help students use these tools more effectively and critically.</w:t>
      </w:r>
    </w:p>
    <w:p>
      <w:pPr>
        <w:pStyle w:val="Heading1"/>
        <w:pBdr>
          <w:bottom w:val="single" w:color="1F3864" w:sz="6" w:space="4"/>
        </w:pBdr>
        <w:spacing w:after="160" w:before="360"/>
      </w:pPr>
      <w:r>
        <w:rPr>
          <w:b/>
          <w:bCs/>
          <w:color w:val="1F3864"/>
        </w:rPr>
        <w:t xml:space="preserve">References &amp; Data Sources</w:t>
      </w:r>
    </w:p>
    <w:p>
      <w:pPr>
        <w:spacing w:after="160" w:line="276"/>
      </w:pPr>
      <w:r>
        <w:t xml:space="preserve">Primary data: online questionnaire (Google Form), 69 responses, collected 21 August – 7 September 2026. Analysis notebook: field_project.ipynb (Pandas, NumPy, Matplotlib, Seaborn). Exported dataset: ganesh.csv.</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Survey on Digital Learning Tools Usage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e7aad30cfdaf8d7a790af601c080988af7f9d6.png"/><Relationship Id="rId10" Type="http://schemas.openxmlformats.org/officeDocument/2006/relationships/image" Target="media/a3f3aa7c6b722b964bd82c51a0bacbc7b163cd8f.png"/><Relationship Id="rId11" Type="http://schemas.openxmlformats.org/officeDocument/2006/relationships/image" Target="media/e47f57ce642a4c5c91f01739f0b4592ca06c8605.png"/><Relationship Id="rId12" Type="http://schemas.openxmlformats.org/officeDocument/2006/relationships/image" Target="media/007de1cb87ca7960d4067c6f94a674102b611ce9.png"/><Relationship Id="rId13" Type="http://schemas.openxmlformats.org/officeDocument/2006/relationships/image" Target="media/254eb92ad28480875db885e1b466367263c6410c.png"/><Relationship Id="rId14" Type="http://schemas.openxmlformats.org/officeDocument/2006/relationships/image" Target="media/8288f6253bec5059f1fcb83bd3fa1f720193efe6.png"/><Relationship Id="rId15" Type="http://schemas.openxmlformats.org/officeDocument/2006/relationships/image" Target="media/3a6c2abba887ccd2bc09e6aa214269c707ac357f.png"/><Relationship Id="rId16" Type="http://schemas.openxmlformats.org/officeDocument/2006/relationships/image" Target="media/f3e1cb2a94b3258a9b81f916ece89e76b95070f8.png"/><Relationship Id="rId17" Type="http://schemas.openxmlformats.org/officeDocument/2006/relationships/image" Target="media/79304f5c782ae5d9cb7d5d3fe4da2d78499692d8.png"/><Relationship Id="rId18" Type="http://schemas.openxmlformats.org/officeDocument/2006/relationships/image" Target="media/835bf464621c8bc879eba9ccc89f67fa4ba37a8b.png"/><Relationship Id="rId19" Type="http://schemas.openxmlformats.org/officeDocument/2006/relationships/image" Target="media/db9a885757116dd1a36746d4d016f0896d3d8b30.png"/><Relationship Id="rId20" Type="http://schemas.openxmlformats.org/officeDocument/2006/relationships/image" Target="media/7287235b6d06c888c6a734f88fec26283c99b4fd.png"/><Relationship Id="rId21" Type="http://schemas.openxmlformats.org/officeDocument/2006/relationships/image" Target="media/4f37c56d3ef1a96bb6f0dab6507f98d887a569bf.png"/><Relationship Id="rId22" Type="http://schemas.openxmlformats.org/officeDocument/2006/relationships/image" Target="media/6cd5b4417a850a308798d4d2598289982936d0b3.png"/><Relationship Id="rId23" Type="http://schemas.openxmlformats.org/officeDocument/2006/relationships/image" Target="media/af1fb0218d44b92ff3de0ac07830376bb744e354.png"/><Relationship Id="rId24" Type="http://schemas.openxmlformats.org/officeDocument/2006/relationships/image" Target="media/5aca05752ab606532603c18997dee73e967956b0.png"/><Relationship Id="rId25" Type="http://schemas.openxmlformats.org/officeDocument/2006/relationships/image" Target="media/572ae8e157036909abf83c0fc3fc4c775b0dc112.png"/><Relationship Id="rId26" Type="http://schemas.openxmlformats.org/officeDocument/2006/relationships/image" Target="media/ca1ff72aa9a80fbbd8ab0b0e8f3a45dacf9eff89.png"/><Relationship Id="rId27" Type="http://schemas.openxmlformats.org/officeDocument/2006/relationships/image" Target="media/14f4520b176490204198e988a9ea1e9840820599.png"/><Relationship Id="rId28" Type="http://schemas.openxmlformats.org/officeDocument/2006/relationships/image" Target="media/caecdc6422d45da7116f7e1e45979935bb77b5f7.png"/><Relationship Id="rId29" Type="http://schemas.openxmlformats.org/officeDocument/2006/relationships/image" Target="media/6ce1f6806c0486ab641e010a118d91260cdbc1a2.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2026-09-19T11:56:37.941Z</dcterms:created>
  <dcterms:modified xsi:type="dcterms:W3CDTF">2026-09-19T11:56:37.948Z</dcterms:modified>
</cp:coreProperties>
</file>

<file path=docProps/custom.xml><?xml version="1.0" encoding="utf-8"?>
<Properties xmlns="http://schemas.openxmlformats.org/officeDocument/2006/custom-properties" xmlns:vt="http://schemas.openxmlformats.org/officeDocument/2006/docPropsVTypes"/>
</file>