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480" w:after="240"/>
        <w:jc w:val="center"/>
        <w:rPr>
          <w:rFonts w:hint="eastAsia" w:ascii="幼圆" w:hAnsi="幼圆" w:eastAsia="幼圆" w:cs="幼圆"/>
        </w:rPr>
        <w:outlineLvl w:val="9"/>
      </w:pPr>
      <w:r>
        <w:rPr>
          <w:rFonts w:hint="eastAsia" w:ascii="幼圆" w:hAnsi="幼圆" w:eastAsia="幼圆" w:cs="幼圆"/>
        </w:rPr>
        <w:t>摘  要</w:t>
      </w:r>
    </w:p>
    <w:p>
      <w:pPr>
        <w:spacing w:line="360" w:lineRule="auto"/>
        <w:ind w:firstLine="480"/>
      </w:pPr>
      <w:r>
        <w:rPr>
          <w:sz w:val="24"/>
          <w:szCs w:val="24"/>
        </w:rPr>
        <w:t>本测试文档验证了 v6 引擎的核心设计原则：所有输出格式完全来自模板 [[块标记]]，JSON 只存储纯数据。</w:t>
      </w:r>
    </w:p>
    <w:p>
      <w:pPr>
        <w:spacing w:line="360" w:lineRule="auto"/>
        <w:ind w:firstLine="480"/>
      </w:pPr>
      <w:r>
        <w:rPr>
          <w:sz w:val="24"/>
          <w:szCs w:val="24"/>
        </w:rPr>
        <w:t>涵盖内容：一/二/三级标题、正文、表格（含 caption）、公式（OMML 直通）、图片（base64/path）、摘要/结论/致谢等章节块、目录、引用上标、分节页脚。</w:t>
      </w:r>
    </w:p>
    <w:p>
      <w:pPr>
        <w:spacing w:line="360" w:lineRule="auto"/>
        <w:ind w:firstLine="480"/>
      </w:pPr>
      <w:r>
        <w:rPr>
          <w:sz w:val="24"/>
          <w:szCs w:val="24"/>
        </w:rPr>
        <w:t>关键词：模板驱动；格式分离；Word 排版</w:t>
      </w:r>
    </w:p>
    <w:p/>
    <w:p>
      <w:pPr>
        <w:spacing w:before="480" w:after="240"/>
        <w:jc w:val="center"/>
        <w:rPr>
          <w:rFonts w:hint="eastAsia" w:ascii="幼圆" w:hAnsi="幼圆" w:eastAsia="幼圆" w:cs="幼圆"/>
        </w:rPr>
        <w:outlineLvl w:val="9"/>
      </w:pPr>
      <w:r>
        <w:rPr>
          <w:rFonts w:hint="eastAsia" w:ascii="幼圆" w:hAnsi="幼圆" w:eastAsia="幼圆" w:cs="幼圆"/>
        </w:rPr>
        <w:t>Abstract</w:t>
      </w:r>
    </w:p>
    <w:p>
      <w:pPr>
        <w:spacing w:line="360" w:lineRule="auto"/>
        <w:ind w:firstLine="480"/>
      </w:pPr>
      <w:r>
        <w:rPr>
          <w:sz w:val="24"/>
          <w:szCs w:val="24"/>
        </w:rPr>
        <w:t>This test document validates the core design principle of the v6 engine: all output formatting comes exclusively from template [[block tags]], and the JSON only stores pure data.</w:t>
      </w:r>
    </w:p>
    <w:p>
      <w:pPr>
        <w:spacing w:line="360" w:lineRule="auto"/>
        <w:ind w:firstLine="480"/>
      </w:pPr>
      <w:r>
        <w:rPr>
          <w:sz w:val="24"/>
          <w:szCs w:val="24"/>
        </w:rPr>
        <w:t>Coverage: headings at three levels, body text, tables with captions, formulas (OMML pass-through), images (base64/path), section blocks (abstract/conclusion/acknowledgement), table of contents, citation superscripts, and paginated footers.</w:t>
      </w:r>
    </w:p>
    <w:p>
      <w:pPr>
        <w:spacing w:line="360" w:lineRule="auto"/>
        <w:ind w:firstLine="480"/>
      </w:pPr>
      <w:r>
        <w:rPr>
          <w:sz w:val="24"/>
          <w:szCs w:val="24"/>
        </w:rPr>
        <w:t>Keywords: template-driven; format separation; Word typesetting</w:t>
      </w:r>
    </w:p>
    <w:p>
      <w:pPr>
        <w:spacing w:before="480" w:after="240"/>
        <w:jc w:val="center"/>
        <w:rPr>
          <w:rFonts w:hint="eastAsia" w:ascii="幼圆" w:hAnsi="幼圆" w:eastAsia="幼圆" w:cs="幼圆"/>
        </w:rPr>
        <w:outlineLvl w:val="9"/>
      </w:pPr>
      <w:r>
        <w:rPr>
          <w:rFonts w:hint="eastAsia" w:ascii="幼圆" w:hAnsi="幼圆" w:eastAsia="幼圆" w:cs="幼圆"/>
        </w:rPr>
        <w:t>目  录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摘  要</w:t>
      </w:r>
      <w:r>
        <w:tab/>
      </w:r>
      <w:r>
        <w:rPr>
          <w:b/>
          <w:sz w:val="24"/>
          <w:szCs w:val="24"/>
        </w:rPr>
        <w:t>i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Abstract</w:t>
      </w:r>
      <w:r>
        <w:tab/>
      </w:r>
      <w:r>
        <w:rPr>
          <w:b/>
          <w:sz w:val="24"/>
          <w:szCs w:val="24"/>
        </w:rPr>
        <w:t>ii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目  录</w:t>
      </w:r>
      <w:r>
        <w:tab/>
      </w:r>
      <w:r>
        <w:rPr>
          <w:b/>
          <w:sz w:val="24"/>
          <w:szCs w:val="24"/>
        </w:rPr>
        <w:t>iii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第一章  引言</w:t>
      </w:r>
      <w:r>
        <w:tab/>
      </w:r>
      <w:r>
        <w:rPr>
          <w:b/>
          <w:sz w:val="24"/>
          <w:szCs w:val="24"/>
        </w:rPr>
        <w:t>1</w:t>
      </w:r>
    </w:p>
    <w:p>
      <w:pPr>
        <w:tabs>
          <w:tab w:val="right" w:leader="dot" w:pos="8800"/>
        </w:tabs>
        <w:ind w:left="420"/>
      </w:pPr>
      <w:r>
        <w:rPr>
          <w:sz w:val="24"/>
          <w:szCs w:val="24"/>
        </w:rPr>
        <w:t>1.1  研究背景</w:t>
      </w:r>
      <w:r>
        <w:tab/>
      </w:r>
      <w:r>
        <w:rPr>
          <w:sz w:val="24"/>
          <w:szCs w:val="24"/>
        </w:rPr>
        <w:t>1</w:t>
      </w:r>
    </w:p>
    <w:p>
      <w:pPr>
        <w:tabs>
          <w:tab w:val="right" w:leader="dot" w:pos="8800"/>
        </w:tabs>
        <w:ind w:left="420"/>
      </w:pPr>
      <w:r>
        <w:rPr>
          <w:sz w:val="24"/>
          <w:szCs w:val="24"/>
        </w:rPr>
        <w:t>1.2  本文贡献</w:t>
      </w:r>
      <w:r>
        <w:tab/>
      </w:r>
      <w:r>
        <w:rPr>
          <w:sz w:val="24"/>
          <w:szCs w:val="24"/>
        </w:rPr>
        <w:t>3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第二章  标题与正文</w:t>
      </w:r>
      <w:r>
        <w:tab/>
      </w:r>
      <w:r>
        <w:rPr>
          <w:b/>
          <w:sz w:val="24"/>
          <w:szCs w:val="24"/>
        </w:rPr>
        <w:t>5</w:t>
      </w:r>
    </w:p>
    <w:p>
      <w:pPr>
        <w:tabs>
          <w:tab w:val="right" w:leader="dot" w:pos="8800"/>
        </w:tabs>
        <w:ind w:left="420"/>
      </w:pPr>
      <w:r>
        <w:rPr>
          <w:sz w:val="24"/>
          <w:szCs w:val="24"/>
        </w:rPr>
        <w:t>2.1  三级标题测试</w:t>
      </w:r>
      <w:r>
        <w:tab/>
      </w:r>
      <w:r>
        <w:rPr>
          <w:sz w:val="24"/>
          <w:szCs w:val="24"/>
        </w:rPr>
        <w:t>5</w:t>
      </w:r>
    </w:p>
    <w:p>
      <w:pPr>
        <w:tabs>
          <w:tab w:val="right" w:leader="dot" w:pos="8800"/>
        </w:tabs>
        <w:ind w:left="840"/>
      </w:pPr>
      <w:r>
        <w:rPr>
          <w:sz w:val="21"/>
          <w:szCs w:val="21"/>
        </w:rPr>
        <w:t>2.1.1  三级A（进目录）</w:t>
      </w:r>
      <w:r>
        <w:tab/>
      </w:r>
      <w:r>
        <w:rPr>
          <w:sz w:val="21"/>
          <w:szCs w:val="21"/>
        </w:rPr>
        <w:t>5</w:t>
      </w:r>
    </w:p>
    <w:p>
      <w:pPr>
        <w:tabs>
          <w:tab w:val="right" w:leader="dot" w:pos="8800"/>
        </w:tabs>
        <w:ind w:left="840"/>
      </w:pPr>
      <w:r>
        <w:rPr>
          <w:sz w:val="21"/>
          <w:szCs w:val="21"/>
        </w:rPr>
        <w:t>2.1.2  三级B（排除）</w:t>
      </w:r>
      <w:r>
        <w:tab/>
      </w:r>
      <w:r>
        <w:rPr>
          <w:sz w:val="21"/>
          <w:szCs w:val="21"/>
        </w:rPr>
        <w:t>6</w:t>
      </w:r>
    </w:p>
    <w:p>
      <w:pPr>
        <w:tabs>
          <w:tab w:val="right" w:leader="dot" w:pos="8800"/>
        </w:tabs>
        <w:ind w:left="420"/>
      </w:pPr>
      <w:r>
        <w:rPr>
          <w:sz w:val="24"/>
          <w:szCs w:val="24"/>
        </w:rPr>
        <w:t>2.2  正文多段测试</w:t>
      </w:r>
      <w:r>
        <w:tab/>
      </w:r>
      <w:r>
        <w:rPr>
          <w:sz w:val="24"/>
          <w:szCs w:val="24"/>
        </w:rPr>
        <w:t>6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第三章  表格测试</w:t>
      </w:r>
      <w:r>
        <w:tab/>
      </w:r>
      <w:r>
        <w:rPr>
          <w:b/>
          <w:sz w:val="24"/>
          <w:szCs w:val="24"/>
        </w:rPr>
        <w:t>8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第四章  公式测试</w:t>
      </w:r>
      <w:r>
        <w:tab/>
      </w:r>
      <w:r>
        <w:rPr>
          <w:b/>
          <w:sz w:val="24"/>
          <w:szCs w:val="24"/>
        </w:rPr>
        <w:t>10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第五章  图片测试</w:t>
      </w:r>
      <w:r>
        <w:tab/>
      </w:r>
      <w:r>
        <w:rPr>
          <w:b/>
          <w:sz w:val="24"/>
          <w:szCs w:val="24"/>
        </w:rPr>
        <w:t>13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结  论</w:t>
      </w:r>
      <w:r>
        <w:tab/>
      </w:r>
      <w:r>
        <w:rPr>
          <w:b/>
          <w:sz w:val="24"/>
          <w:szCs w:val="24"/>
        </w:rPr>
        <w:t>17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参考文献</w:t>
      </w:r>
      <w:r>
        <w:tab/>
      </w:r>
      <w:r>
        <w:rPr>
          <w:b/>
          <w:sz w:val="24"/>
          <w:szCs w:val="24"/>
        </w:rPr>
        <w:t>19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致  谢</w:t>
      </w:r>
      <w:r>
        <w:tab/>
      </w:r>
      <w:r>
        <w:rPr>
          <w:b/>
          <w:sz w:val="24"/>
          <w:szCs w:val="24"/>
        </w:rPr>
        <w:t>22</w:t>
      </w:r>
    </w:p>
    <w:p>
      <w:pPr>
        <w:tabs>
          <w:tab w:val="right" w:leader="dot" w:pos="8800"/>
        </w:tabs>
      </w:pPr>
      <w:r>
        <w:rPr>
          <w:b/>
          <w:sz w:val="24"/>
          <w:szCs w:val="24"/>
        </w:rPr>
        <w:t>已发表的学术论文目录</w:t>
      </w:r>
      <w:r>
        <w:tab/>
      </w:r>
      <w:r>
        <w:rPr>
          <w:b/>
          <w:sz w:val="24"/>
          <w:szCs w:val="24"/>
        </w:rPr>
        <w:t>23</w:t>
      </w:r>
    </w:p>
    <w:p/>
    <w:p>
      <w:pPr>
        <w:sectPr>
          <w:footerReference w:type="default" r:id="rId12"/>
          <w:type w:val="nextPage"/>
          <w:pgNumType w:fmt="lowerRoman" w:start="1"/>
        </w:sectPr>
      </w:pPr>
    </w:p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第一章  引言</w:t>
      </w:r>
    </w:p>
    <w:p>
      <w:pPr>
        <w:spacing w:line="360" w:lineRule="auto"/>
        <w:ind w:firstLine="480"/>
      </w:pPr>
      <w:r>
        <w:rPr>
          <w:sz w:val="24"/>
          <w:szCs w:val="24"/>
        </w:rPr>
        <w:t>本引擎的核心设计原则是格式与数据完全分离。模板负责定义所有视觉格式，JSON 只提供文字内容和结构数据，引擎负责将两者组合生成最终文档。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1.1  研究背景</w:t>
      </w:r>
    </w:p>
    <w:p>
      <w:pPr>
        <w:spacing w:line="360" w:lineRule="auto"/>
        <w:ind w:firstLine="480"/>
      </w:pPr>
      <w:r>
        <w:rPr>
          <w:sz w:val="24"/>
          <w:szCs w:val="24"/>
        </w:rPr>
        <w:t>传统的文档生成方案往往把格式参数硬编码在程序里，导致格式调整必须修改代码。本引擎通过 [[块标记]] 机制彻底解决这一问题。</w:t>
        <w:br/>
        <w:br/>
        <w:t>用户只需在 Word 模板里调整对应示例段落的格式，引擎自动提取并应用，无需改动任何代码。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1.2  本文贡献</w:t>
      </w:r>
    </w:p>
    <w:p>
      <w:pPr>
        <w:spacing w:line="360" w:lineRule="auto"/>
        <w:ind w:firstLine="480"/>
      </w:pPr>
      <w:r>
        <w:rPr>
          <w:sz w:val="24"/>
          <w:szCs w:val="24"/>
        </w:rPr>
        <w:t>主要贡献：（1）完整的标记驱动格式提取；（2）零硬编码的内容渲染；（3）模板缺失时的合理降级处理。</w:t>
      </w:r>
    </w:p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第二章  标题与正文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2.1  三级标题测试</w:t>
      </w:r>
    </w:p>
    <w:p>
      <w:pPr>
        <w:spacing w:before="120" w:after="6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2.1.1  三级标题A（进目录）</w:t>
      </w:r>
    </w:p>
    <w:p>
      <w:pPr>
        <w:spacing w:line="360" w:lineRule="auto"/>
        <w:ind w:firstLine="480"/>
      </w:pPr>
      <w:r>
        <w:rPr>
          <w:sz w:val="24"/>
          <w:szCs w:val="24"/>
        </w:rPr>
        <w:t>本节三级标题 toc_exclude=false，会被 TOC 域收录。格式来自模板 [[三级标题]] 块。</w:t>
      </w:r>
    </w:p>
    <w:p>
      <w:pPr>
        <w:spacing w:before="120" w:after="60"/>
        <w:jc w:val="left"/>
        <w:rPr>
          <w:rFonts w:hint="eastAsia" w:ascii="隶书" w:hAnsi="隶书" w:eastAsia="隶书" w:cs="隶书"/>
        </w:rPr>
        <w:outlineLvl w:val="9"/>
      </w:pPr>
      <w:r>
        <w:rPr>
          <w:rFonts w:hint="eastAsia" w:ascii="隶书" w:hAnsi="隶书" w:eastAsia="隶书" w:cs="隶书"/>
        </w:rPr>
        <w:t>2.1.2  三级标题B（toc_exclude=true）</w:t>
      </w:r>
    </w:p>
    <w:p>
      <w:pPr>
        <w:spacing w:line="360" w:lineRule="auto"/>
        <w:ind w:firstLine="480"/>
      </w:pPr>
      <w:r>
        <w:rPr>
          <w:sz w:val="24"/>
          <w:szCs w:val="24"/>
        </w:rPr>
        <w:t>本节三级标题 toc_exclude=true，不会被 TOC 域收录。注意：正文格式来自 [[正文]] 块，与普通段落完全一致。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2.2  正文多段测试</w:t>
      </w:r>
    </w:p>
    <w:p>
      <w:pPr>
        <w:spacing w:line="360" w:lineRule="auto"/>
        <w:ind w:firstLine="480"/>
      </w:pPr>
      <w:r>
        <w:rPr>
          <w:sz w:val="24"/>
          <w:szCs w:val="24"/>
        </w:rPr>
        <w:t>第一段：正文通过 \n\n 分隔多段，每段独立渲染，格式来自模板 [[正文]] 块。</w:t>
        <w:br/>
        <w:br/>
        <w:t>第二段：段落间距、首行缩进、行距均由模板控制，JSON 里不出现任何格式参数。</w:t>
        <w:br/>
        <w:br/>
        <w:t>第三段：这是第三段落，验证三段分割正常工作。</w:t>
      </w:r>
    </w:p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第三章  表格测试</w:t>
      </w:r>
    </w:p>
    <w:p>
      <w:pPr>
        <w:spacing w:line="360" w:lineRule="auto"/>
        <w:ind w:firstLine="480"/>
      </w:pPr>
      <w:r>
        <w:rPr>
          <w:sz w:val="24"/>
          <w:szCs w:val="24"/>
        </w:rPr>
        <w:t>下面三个表格验证 caption 格式来自模板 [[表格]] 块内的 caption 示例行，表格样式来自 proto 表格。</w:t>
      </w:r>
    </w:p>
    <w:p>
      <w:pPr>
        <w:spacing w:before="120" w:after="60"/>
        <w:jc w:val="center"/>
      </w:pPr>
      <w:r>
        <w:rPr>
          <w:b/>
          <w:sz w:val="24"/>
          <w:szCs w:val="24"/>
        </w:rPr>
        <w:t>表 3-1  三列标准表</w:t>
      </w:r>
    </w:p>
    <w:tbl>
      <w:tblPr>
        <w:tblStyle w:val="32"/>
        <w:tblW w:w="936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参数名称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取值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学习率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0.001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Adam 初始学习率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批次大小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32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每次迭代样本数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训练轮数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100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总迭代轮数</w:t>
            </w:r>
          </w:p>
        </w:tc>
      </w:tr>
    </w:tbl>
    <w:p/>
    <w:p>
      <w:pPr>
        <w:spacing w:before="120" w:after="60"/>
        <w:jc w:val="center"/>
      </w:pPr>
      <w:r>
        <w:rPr>
          <w:b/>
          <w:sz w:val="24"/>
          <w:szCs w:val="24"/>
        </w:rPr>
        <w:t>表 3-2  五列宽表</w:t>
      </w:r>
    </w:p>
    <w:tbl>
      <w:tblPr>
        <w:tblStyle w:val="32"/>
        <w:tblW w:w="936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  <w:gridCol w:w="1440"/>
        <w:gridCol w:w="1440"/>
      </w:tblGrid>
      <w:tr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方法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精度(%)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召回(%)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F1(%)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时间(ms)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本文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98.7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97.2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97.9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12.3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基线A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94.1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93.8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93.9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8.7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基线B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96.3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95.1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95.7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21.4</w:t>
            </w:r>
          </w:p>
        </w:tc>
      </w:tr>
    </w:tbl>
    <w:p/>
    <w:tbl>
      <w:tblPr>
        <w:tblStyle w:val="32"/>
        <w:tblW w:w="936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无标题A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b/>
                <w:sz w:val="22"/>
                <w:szCs w:val="22"/>
              </w:rPr>
              <w:t xml:space="preserve">无标题B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值1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值2</w:t>
            </w:r>
          </w:p>
        </w:tc>
      </w:tr>
      <w:tr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值3</w:t>
            </w:r>
          </w:p>
        </w:tc>
        <w:tc>
          <w:tcPr>
            <w:tcW w:w="3120" w:type="dxa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值4</w:t>
            </w:r>
          </w:p>
        </w:tc>
      </w:tr>
    </w:tbl>
    <w:p/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第四章  公式测试</w:t>
      </w:r>
    </w:p>
    <w:p>
      <w:pPr>
        <w:spacing w:line="360" w:lineRule="auto"/>
        <w:ind w:firstLine="480"/>
      </w:pPr>
      <w:r>
        <w:rPr>
          <w:sz w:val="24"/>
          <w:szCs w:val="24"/>
        </w:rPr>
        <w:t>所有公式的段落格式（居中等）来自模板 [[公式]] 块第一行，编号字体来自第二行。</w:t>
      </w:r>
    </w:p>
    <w:p>
      <w:pPr>
        <w:jc w:val="center"/>
      </w:pPr>
      <m:oMathPara>
        <m:oMath>
          <m:f>
            <m:num>
              <m:r>
                <m:t>a+b</m:t>
              </m:r>
            </m:num>
            <m:den>
              <m:r>
                <m:t>2</m:t>
              </m:r>
            </m:den>
          </m:f>
        </m:oMath>
      </m:oMathPara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  <w:r>
        <w:tab/>
      </w:r>
      <w:r>
        <w:rPr>
          <w:b/>
          <w:bCs/>
          <w:i w:val="0"/>
          <w:iCs w:val="0"/>
        </w:rPr>
        <w:t>式(4-1)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f>
            <m:num>
              <m:r>
                <m:t>
                  <m:sSub>
                    <m:e>
                      <m:r>
                        <m:t>Σ</m:t>
                      </m:r>
                    </m:e>
                    <m:sub>
                      <m:r>
                        <m:t>i=1</m:t>
                      </m:r>
                    </m:sub>
                  </m:sSub>
                  <m:sSup>
                    <m:e>
                      <m:r>
                        <m:t>n</m:t>
                      </m:r>
                    </m:e>
                    <m:sup>
                      <m:r>
                        <m:t/>
                      </m:r>
                    </m:sup>
                  </m:sSup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t>
              </m:r>
            </m:num>
            <m:den>
              <m:r>
                <m:t>n</m:t>
              </m:r>
            </m:den>
          </m:f>
        </m:oMath>
      </m:oMathPara>
      <w:r>
        <w:tab/>
      </w:r>
      <w:r>
        <w:rPr>
          <w:b/>
          <w:bCs/>
          <w:i w:val="0"/>
          <w:iCs w:val="0"/>
        </w:rPr>
        <w:t>式(4-2)</w:t>
      </w:r>
    </w:p>
    <w:p>
      <w:pPr>
        <w:jc w:val="center"/>
        <w:tabs>
          <w:tab w:val="center" w:pos="4680"/>
          <w:tab w:val="right" w:pos="9360"/>
        </w:tabs>
      </w:pPr>
      <w:r>
        <w:tab/>
      </w:r>
      <m:oMathPara>
        <m:oMath>
          <m:rad>
            <m:radPr>
              <m:degHide m:val="1"/>
            </m:radPr>
            <m:deg/>
            <m:e>
              <m:r>
                <m:t>a²+b²</m:t>
              </m:r>
            </m:e>
          </m:rad>
        </m:oMath>
      </m:oMathPara>
      <w:r>
        <w:tab/>
      </w:r>
      <w:r>
        <w:rPr>
          <w:b/>
          <w:bCs/>
          <w:i w:val="0"/>
          <w:iCs w:val="0"/>
        </w:rPr>
        <w:t>式(4-3)</w:t>
      </w:r>
    </w:p>
    <w:p>
      <w:pPr>
        <w:jc w:val="center"/>
      </w:pPr>
      <w:r>
        <w:t>f(x)=\frac{1}{\sigma\sqrt{2\pi}}e^{-\frac{(x-\mu)^2}{2\sigma^2}}    式(4-4)</w:t>
      </w:r>
    </w:p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第五章  图片测试</w:t>
      </w:r>
    </w:p>
    <w:p>
      <w:pPr>
        <w:spacing w:line="360" w:lineRule="auto"/>
        <w:ind w:firstLine="480"/>
      </w:pPr>
      <w:r>
        <w:rPr>
          <w:sz w:val="24"/>
          <w:szCs w:val="24"/>
        </w:rPr>
        <w:t>图片段落格式来自模板 [[图片]] 块第一行，caption 格式来自第二行。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5.1  base64 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  <w:szCs w:val="21"/>
        </w:rPr>
        <w:t>图 5-1  渐变色图（base64，居中，3.5英寸）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000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  <w:szCs w:val="21"/>
        </w:rPr>
        <w:t>图 5-2  折线图（base64，居中，3.5英寸）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5.2  本地路径图片</w:t>
      </w:r>
    </w:p>
    <w:p>
      <w:pPr>
        <w:spacing w:line="360" w:lineRule="auto"/>
        <w:ind w:firstLine="480"/>
      </w:pPr>
      <w:r>
        <w:rPr>
          <w:sz w:val="24"/>
          <w:szCs w:val="24"/>
        </w:rPr>
        <w:t>图 5-3 使用 path 模式："path": "/mnt/user-data/outputs/test_figure.png"</w:t>
      </w:r>
    </w:p>
    <w:p>
      <w:pPr>
        <w:jc w:val="center"/>
      </w:pPr>
      <w:r>
        <w:t>[图片占位：图 5-3  棋盘格（path 模式，3.0英寸）]</w:t>
      </w:r>
    </w:p>
    <w:p>
      <w:pPr>
        <w:jc w:val="center"/>
      </w:pPr>
      <w:r>
        <w:t>[图片占位：图 5-4  无效路径（应显示占位文字）]</w:t>
      </w:r>
    </w:p>
    <w:p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</w:rPr>
        <w:t>5.3  对齐测试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1"/>
          <w:szCs w:val="21"/>
        </w:rPr>
        <w:t>左对齐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  <w:szCs w:val="21"/>
        </w:rPr>
        <w:t>居中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371600" cy="857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5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</w:pPr>
      <w:r>
        <w:rPr>
          <w:sz w:val="21"/>
          <w:szCs w:val="21"/>
        </w:rPr>
        <w:t>右对齐</w:t>
      </w:r>
    </w:p>
    <w:p/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结  论</w:t>
      </w:r>
    </w:p>
    <w:p>
      <w:pPr>
        <w:spacing w:line="360" w:lineRule="auto"/>
        <w:ind w:firstLine="480"/>
      </w:pPr>
      <w:r>
        <w:rPr>
          <w:sz w:val="24"/>
          <w:szCs w:val="24"/>
        </w:rPr>
        <w:t>v6 引擎成功实现了格式与数据的完全分离：</w:t>
      </w:r>
    </w:p>
    <w:p>
      <w:pPr>
        <w:spacing w:line="360" w:lineRule="auto"/>
        <w:ind w:firstLine="480"/>
      </w:pPr>
      <w:r>
        <w:rPr>
          <w:sz w:val="24"/>
          <w:szCs w:val="24"/>
        </w:rPr>
        <w:t>（1）标题/正文/公式/图片/表格所有格式均来自模板 [[块标记]]，JSON 不含任何格式参数。</w:t>
      </w:r>
    </w:p>
    <w:p>
      <w:pPr>
        <w:spacing w:line="360" w:lineRule="auto"/>
        <w:ind w:firstLine="480"/>
      </w:pPr>
      <w:r>
        <w:rPr>
          <w:sz w:val="24"/>
          <w:szCs w:val="24"/>
        </w:rPr>
        <w:t>（2）模板缺失对应块时，引擎降级使用 Word 内置默认样式，而非硬编码值。</w:t>
      </w:r>
    </w:p>
    <w:p>
      <w:pPr>
        <w:spacing w:line="360" w:lineRule="auto"/>
        <w:ind w:firstLine="480"/>
      </w:pPr>
      <w:r>
        <w:rPr>
          <w:sz w:val="24"/>
          <w:szCs w:val="24"/>
        </w:rPr>
        <w:t>（3）所有功能测试通过：表格 caption 来自模板、公式 label 字体来自模板、分节页脚正确、引用上标正确。</w:t>
      </w:r>
    </w:p>
    <w:p/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致  谢</w:t>
      </w:r>
    </w:p>
    <w:p>
      <w:pPr>
        <w:spacing w:line="360" w:lineRule="auto"/>
        <w:ind w:firstLine="480"/>
      </w:pPr>
      <w:r>
        <w:rPr>
          <w:sz w:val="24"/>
          <w:szCs w:val="24"/>
        </w:rPr>
        <w:t>感谢 python-docx 社区提供的 Word XML 操作接口</w:t>
      </w:r>
      <w:r>
        <w:rPr>
          <w:sz w:val="24"/>
          <w:szCs w:val="24"/>
          <w:vertAlign w:val="superscript"/>
        </w:rPr>
        <w:t>[2]</w:t>
      </w:r>
      <w:r>
        <w:rPr>
          <w:sz w:val="24"/>
          <w:szCs w:val="24"/>
        </w:rPr>
        <w:t xml:space="preserve">。</w:t>
      </w:r>
    </w:p>
    <w:p>
      <w:pPr>
        <w:spacing w:line="360" w:lineRule="auto"/>
        <w:ind w:firstLine="480"/>
      </w:pPr>
      <w:r>
        <w:rPr>
          <w:sz w:val="24"/>
          <w:szCs w:val="24"/>
        </w:rPr>
        <w:t>感谢提出设计原则批评的用户，使引擎真正做到格式与数据分离。</w:t>
      </w:r>
    </w:p>
    <w:p/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已发表的学术论文目录</w:t>
      </w:r>
    </w:p>
    <w:p>
      <w:pPr>
        <w:ind w:left="480" w:hanging="480"/>
      </w:pPr>
      <w:r>
        <w:rPr>
          <w:sz w:val="24"/>
          <w:szCs w:val="24"/>
        </w:rPr>
        <w:t>1. 张三, 李四. 基于标记驱动的 Word 文档引擎[J]. 计算机应用, 2025.</w:t>
      </w:r>
    </w:p>
    <w:p>
      <w:pPr>
        <w:ind w:left="480" w:hanging="480"/>
      </w:pPr>
      <w:r>
        <w:rPr>
          <w:sz w:val="24"/>
          <w:szCs w:val="24"/>
        </w:rPr>
        <w:t>2. Zhang S. Template-driven Typesetting Engine[C]. ICDAR 2025.</w:t>
      </w:r>
    </w:p>
    <w:p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</w:rPr>
        <w:t>参考文献</w:t>
      </w:r>
    </w:p>
    <w:p>
      <w:pPr>
        <w:ind w:left="480" w:hanging="480"/>
      </w:pPr>
      <w:r>
        <w:rPr>
          <w:b/>
          <w:sz w:val="24"/>
          <w:szCs w:val="24"/>
        </w:rPr>
        <w:t xml:space="preserve">[1] </w:t>
      </w:r>
      <w:r>
        <w:rPr>
          <w:sz w:val="24"/>
          <w:szCs w:val="24"/>
        </w:rPr>
        <w:t>Knuth D E. The TeXbook[M]. Addison-Wesley, 1984.</w:t>
      </w:r>
    </w:p>
    <w:p>
      <w:pPr>
        <w:ind w:left="480" w:hanging="480"/>
      </w:pPr>
      <w:r>
        <w:rPr>
          <w:b/>
          <w:sz w:val="24"/>
          <w:szCs w:val="24"/>
        </w:rPr>
        <w:t xml:space="preserve">[2] </w:t>
      </w:r>
      <w:r>
        <w:rPr>
          <w:sz w:val="24"/>
          <w:szCs w:val="24"/>
        </w:rPr>
        <w:t>Clark A. python-docx documentation[EB/OL]. 2023.</w:t>
      </w:r>
    </w:p>
    <w:p>
      <w:pPr>
        <w:ind w:left="480" w:hanging="480"/>
      </w:pPr>
      <w:r>
        <w:rPr>
          <w:b/>
          <w:sz w:val="24"/>
          <w:szCs w:val="24"/>
        </w:rPr>
        <w:t xml:space="preserve">[3] </w:t>
      </w:r>
      <w:r>
        <w:rPr>
          <w:sz w:val="24"/>
          <w:szCs w:val="24"/>
        </w:rPr>
        <w:t>ISO/IEC 29500-1:2016. Office Open XML File Formats[S]. ISO, 2016.</w:t>
      </w:r>
    </w:p>
    <w:sectPr w:rsidR="00FC693F" w:rsidRPr="0006063C" w:rsidSect="00034616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- </w:t>
    </w:r>
    <w:r>
      <w:fldChar w:fldCharType="begin"/>
    </w:r>
    <w:r>
      <w:instrText xml:space="preserve"> PAGE </w:instrText>
    </w:r>
    <w:r>
      <w:fldChar w:fldCharType="end"/>
    </w:r>
    <w: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