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  <w:spacing w:before="480" w:after="240"/>
        <w:jc w:val="center"/>
        <w:outlineLvl w:val="9"/>
      </w:pPr>
      <w:r>
        <w:rPr>
          <w:rFonts w:hint="eastAsia" w:ascii="幼圆" w:hAnsi="幼圆" w:eastAsia="幼圆" w:cs="幼圆"/>
          <w:b/>
          <w:sz w:val="32"/>
          <w:szCs w:val="32"/>
          <w:lang w:val="en-US" w:eastAsia="zh-CN"/>
          <w:color w:val="000000"/>
        </w:rPr>
        <w:t>摘  要</w:t>
      </w:r>
    </w:p>
    <w:p>
      <w:r>
        <w:t>本文对 docx_inline_tag_engine v5 的全部功能进行了系统测试，涵盖前置章节、目录、标题、正文、表格、公式与图片等所有内容类型。</w:t>
      </w:r>
    </w:p>
    <w:p>
      <w:r>
        <w:t>测试数据包含三种公式输入方式（OMML 直通、LaTeX 转换、退化纯文本）、四张图片（三种 base64 图、一张本地路径图）、三个不同结构的表格，以及 toc_exclude 排除机制的正反两向测试。</w:t>
      </w:r>
    </w:p>
    <w:p>
      <w:r>
        <w:t>关键词：文档自动化；排版引擎；全功能测试；Word XML</w:t>
      </w:r>
    </w:p>
    <w:p/>
    <w:p>
      <w:pPr>
        <w:pStyle w:val="Heading1"/>
        <w:spacing w:before="480" w:after="240"/>
        <w:jc w:val="center"/>
        <w:outlineLvl w:val="9"/>
      </w:pPr>
      <w:r>
        <w:rPr>
          <w:rFonts w:hint="eastAsia" w:ascii="幼圆" w:hAnsi="幼圆" w:eastAsia="幼圆" w:cs="幼圆"/>
          <w:b/>
          <w:sz w:val="32"/>
          <w:szCs w:val="32"/>
          <w:lang w:val="en-US" w:eastAsia="zh-CN"/>
          <w:color w:val="000000"/>
        </w:rPr>
        <w:t>Abstract</w:t>
      </w:r>
    </w:p>
    <w:p>
      <w:r>
        <w:t>This document provides a comprehensive test of all features in docx_inline_tag_engine v5, covering front matter sections, table of contents, headings at three levels, body text, tables, formulas, and images.</w:t>
      </w:r>
    </w:p>
    <w:p>
      <w:r>
        <w:t>Test cases include three formula input modes (OMML pass-through, LaTeX conversion, and plain-text fallback), four images (three base64-encoded, one local-path), three tables of varying structure, and bidirectional tests of the toc_exclude mechanism.</w:t>
      </w:r>
    </w:p>
    <w:p>
      <w:r>
        <w:t>Keywords: document automation; typesetting engine; full-feature test; Word XML</w:t>
      </w:r>
    </w:p>
    <w:p>
      <w:pPr>
        <w:pStyle w:val="Heading1"/>
        <w:spacing w:before="480" w:after="240"/>
        <w:jc w:val="center"/>
        <w:outlineLvl w:val="9"/>
      </w:pPr>
      <w:r>
        <w:rPr>
          <w:rFonts w:hint="eastAsia" w:ascii="幼圆" w:hAnsi="幼圆" w:eastAsia="幼圆" w:cs="幼圆"/>
          <w:b/>
          <w:sz w:val="32"/>
          <w:szCs w:val="32"/>
          <w:lang w:val="en-US" w:eastAsia="zh-CN"/>
          <w:color w:val="000000"/>
        </w:rPr>
        <w:t>目  录</w:t>
      </w:r>
    </w:p>
    <w:p>
      <w:pPr>
        <w:tabs>
          <w:tab w:val="right" w:leader="dot" w:pos="8800"/>
        </w:tabs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摘  要</w:t>
      </w:r>
      <w:r>
        <w:tab/>
      </w:r>
      <w:r>
        <w:rPr>
          <w:rFonts w:hint="eastAsia" w:ascii="仿宋" w:hAnsi="仿宋" w:eastAsia="仿宋" w:cs="仿宋"/>
          <w:lang w:val="en-US" w:eastAsia="zh-CN"/>
        </w:rPr>
        <w:t>i</w:t>
      </w:r>
    </w:p>
    <w:p>
      <w:pPr>
        <w:tabs>
          <w:tab w:val="right" w:leader="dot" w:pos="8800"/>
        </w:tabs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Abstract</w:t>
      </w:r>
      <w:r>
        <w:tab/>
      </w:r>
      <w:r>
        <w:rPr>
          <w:rFonts w:hint="eastAsia" w:ascii="仿宋" w:hAnsi="仿宋" w:eastAsia="仿宋" w:cs="仿宋"/>
          <w:lang w:val="en-US" w:eastAsia="zh-CN"/>
        </w:rPr>
        <w:t>ii</w:t>
      </w:r>
    </w:p>
    <w:p>
      <w:pPr>
        <w:tabs>
          <w:tab w:val="right" w:leader="dot" w:pos="8800"/>
        </w:tabs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目  录</w:t>
      </w:r>
      <w:r>
        <w:tab/>
      </w:r>
      <w:r>
        <w:rPr>
          <w:rFonts w:hint="eastAsia" w:ascii="仿宋" w:hAnsi="仿宋" w:eastAsia="仿宋" w:cs="仿宋"/>
          <w:lang w:val="en-US" w:eastAsia="zh-CN"/>
        </w:rPr>
        <w:t>iii</w:t>
      </w:r>
    </w:p>
    <w:p>
      <w:pPr>
        <w:tabs>
          <w:tab w:val="right" w:leader="dot" w:pos="8800"/>
        </w:tabs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第一章  引言</w:t>
      </w:r>
      <w:r>
        <w:tab/>
      </w:r>
      <w:r>
        <w:rPr>
          <w:rFonts w:hint="eastAsia" w:ascii="仿宋" w:hAnsi="仿宋" w:eastAsia="仿宋" w:cs="仿宋"/>
          <w:lang w:val="en-US" w:eastAsia="zh-CN"/>
        </w:rPr>
        <w:t>1</w:t>
      </w:r>
    </w:p>
    <w:p>
      <w:pPr>
        <w:tabs>
          <w:tab w:val="right" w:leader="dot" w:pos="8800"/>
        </w:tabs>
        <w:ind w:left="420"/>
        <w:rPr>
          <w:rFonts w:hint="eastAsia" w:ascii="方正姚体" w:hAnsi="方正姚体" w:eastAsia="方正姚体" w:cs="方正姚体"/>
        </w:rPr>
      </w:pPr>
      <w:r>
        <w:rPr>
          <w:rFonts w:hint="eastAsia" w:ascii="方正姚体" w:hAnsi="方正姚体" w:eastAsia="方正姚体" w:cs="方正姚体"/>
        </w:rPr>
        <w:t>1.1  研究背景</w:t>
      </w:r>
      <w:r>
        <w:tab/>
      </w:r>
      <w:r>
        <w:rPr>
          <w:rFonts w:hint="eastAsia" w:ascii="方正姚体" w:hAnsi="方正姚体" w:eastAsia="方正姚体" w:cs="方正姚体"/>
        </w:rPr>
        <w:t>1</w:t>
      </w:r>
    </w:p>
    <w:p>
      <w:pPr>
        <w:tabs>
          <w:tab w:val="right" w:leader="dot" w:pos="8800"/>
        </w:tabs>
        <w:ind w:left="420"/>
        <w:rPr>
          <w:rFonts w:hint="eastAsia" w:ascii="方正姚体" w:hAnsi="方正姚体" w:eastAsia="方正姚体" w:cs="方正姚体"/>
        </w:rPr>
      </w:pPr>
      <w:r>
        <w:rPr>
          <w:rFonts w:hint="eastAsia" w:ascii="方正姚体" w:hAnsi="方正姚体" w:eastAsia="方正姚体" w:cs="方正姚体"/>
        </w:rPr>
        <w:t>1.2  本文贡献</w:t>
      </w:r>
      <w:r>
        <w:tab/>
      </w:r>
      <w:r>
        <w:rPr>
          <w:rFonts w:hint="eastAsia" w:ascii="方正姚体" w:hAnsi="方正姚体" w:eastAsia="方正姚体" w:cs="方正姚体"/>
        </w:rPr>
        <w:t>3</w:t>
      </w:r>
    </w:p>
    <w:p>
      <w:pPr>
        <w:tabs>
          <w:tab w:val="right" w:leader="dot" w:pos="8800"/>
        </w:tabs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第二章  正文排版测试</w:t>
      </w:r>
      <w:r>
        <w:tab/>
      </w:r>
      <w:r>
        <w:rPr>
          <w:rFonts w:hint="eastAsia" w:ascii="仿宋" w:hAnsi="仿宋" w:eastAsia="仿宋" w:cs="仿宋"/>
          <w:lang w:val="en-US" w:eastAsia="zh-CN"/>
        </w:rPr>
        <w:t>5</w:t>
      </w:r>
    </w:p>
    <w:p>
      <w:pPr>
        <w:tabs>
          <w:tab w:val="right" w:leader="dot" w:pos="8800"/>
        </w:tabs>
        <w:ind w:left="420"/>
        <w:rPr>
          <w:rFonts w:hint="eastAsia" w:ascii="方正姚体" w:hAnsi="方正姚体" w:eastAsia="方正姚体" w:cs="方正姚体"/>
        </w:rPr>
      </w:pPr>
      <w:r>
        <w:rPr>
          <w:rFonts w:hint="eastAsia" w:ascii="方正姚体" w:hAnsi="方正姚体" w:eastAsia="方正姚体" w:cs="方正姚体"/>
        </w:rPr>
        <w:t>2.1  标题三级测试</w:t>
      </w:r>
      <w:r>
        <w:tab/>
      </w:r>
      <w:r>
        <w:rPr>
          <w:rFonts w:hint="eastAsia" w:ascii="方正姚体" w:hAnsi="方正姚体" w:eastAsia="方正姚体" w:cs="方正姚体"/>
        </w:rPr>
        <w:t>5</w:t>
      </w:r>
    </w:p>
    <w:p>
      <w:pPr>
        <w:tabs>
          <w:tab w:val="right" w:leader="dot" w:pos="8800"/>
        </w:tabs>
        <w:ind w:left="840"/>
        <w:rPr>
          <w:rFonts w:hint="eastAsia" w:ascii="华文彩云" w:hAnsi="华文彩云" w:eastAsia="华文彩云" w:cs="华文彩云"/>
        </w:rPr>
      </w:pPr>
      <w:r>
        <w:rPr>
          <w:rFonts w:hint="eastAsia" w:ascii="华文彩云" w:hAnsi="华文彩云" w:eastAsia="华文彩云" w:cs="华文彩云"/>
        </w:rPr>
        <w:t>2.1.1  三级标题A</w:t>
      </w:r>
      <w:r>
        <w:tab/>
      </w:r>
      <w:r>
        <w:rPr>
          <w:rFonts w:hint="eastAsia" w:ascii="华文彩云" w:hAnsi="华文彩云" w:eastAsia="华文彩云" w:cs="华文彩云"/>
        </w:rPr>
        <w:t>5</w:t>
      </w:r>
    </w:p>
    <w:p>
      <w:pPr>
        <w:tabs>
          <w:tab w:val="right" w:leader="dot" w:pos="8800"/>
        </w:tabs>
        <w:ind w:left="840"/>
        <w:rPr>
          <w:rFonts w:hint="eastAsia" w:ascii="华文彩云" w:hAnsi="华文彩云" w:eastAsia="华文彩云" w:cs="华文彩云"/>
        </w:rPr>
      </w:pPr>
      <w:r>
        <w:rPr>
          <w:rFonts w:hint="eastAsia" w:ascii="华文彩云" w:hAnsi="华文彩云" w:eastAsia="华文彩云" w:cs="华文彩云"/>
        </w:rPr>
        <w:t>2.1.2  三级标题B（toc_exclude）</w:t>
      </w:r>
      <w:r>
        <w:tab/>
      </w:r>
      <w:r>
        <w:rPr>
          <w:rFonts w:hint="eastAsia" w:ascii="华文彩云" w:hAnsi="华文彩云" w:eastAsia="华文彩云" w:cs="华文彩云"/>
        </w:rPr>
        <w:t>6</w:t>
      </w:r>
    </w:p>
    <w:p>
      <w:pPr>
        <w:tabs>
          <w:tab w:val="right" w:leader="dot" w:pos="8800"/>
        </w:tabs>
        <w:ind w:left="420"/>
        <w:rPr>
          <w:rFonts w:hint="eastAsia" w:ascii="方正姚体" w:hAnsi="方正姚体" w:eastAsia="方正姚体" w:cs="方正姚体"/>
        </w:rPr>
      </w:pPr>
      <w:r>
        <w:rPr>
          <w:rFonts w:hint="eastAsia" w:ascii="方正姚体" w:hAnsi="方正姚体" w:eastAsia="方正姚体" w:cs="方正姚体"/>
        </w:rPr>
        <w:t>2.2  正文多段测试</w:t>
      </w:r>
      <w:r>
        <w:tab/>
      </w:r>
      <w:r>
        <w:rPr>
          <w:rFonts w:hint="eastAsia" w:ascii="方正姚体" w:hAnsi="方正姚体" w:eastAsia="方正姚体" w:cs="方正姚体"/>
        </w:rPr>
        <w:t>6</w:t>
      </w:r>
    </w:p>
    <w:p>
      <w:pPr>
        <w:tabs>
          <w:tab w:val="right" w:leader="dot" w:pos="8800"/>
        </w:tabs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第三章  表格测试</w:t>
      </w:r>
      <w:r>
        <w:tab/>
      </w:r>
      <w:r>
        <w:rPr>
          <w:rFonts w:hint="eastAsia" w:ascii="仿宋" w:hAnsi="仿宋" w:eastAsia="仿宋" w:cs="仿宋"/>
          <w:lang w:val="en-US" w:eastAsia="zh-CN"/>
        </w:rPr>
        <w:t>8</w:t>
      </w:r>
    </w:p>
    <w:p>
      <w:pPr>
        <w:tabs>
          <w:tab w:val="right" w:leader="dot" w:pos="8800"/>
        </w:tabs>
        <w:ind w:left="420"/>
        <w:rPr>
          <w:rFonts w:hint="eastAsia" w:ascii="方正姚体" w:hAnsi="方正姚体" w:eastAsia="方正姚体" w:cs="方正姚体"/>
        </w:rPr>
      </w:pPr>
      <w:r>
        <w:rPr>
          <w:rFonts w:hint="eastAsia" w:ascii="方正姚体" w:hAnsi="方正姚体" w:eastAsia="方正姚体" w:cs="方正姚体"/>
        </w:rPr>
        <w:t>3.1  三列标准表</w:t>
      </w:r>
      <w:r>
        <w:tab/>
      </w:r>
      <w:r>
        <w:rPr>
          <w:rFonts w:hint="eastAsia" w:ascii="方正姚体" w:hAnsi="方正姚体" w:eastAsia="方正姚体" w:cs="方正姚体"/>
        </w:rPr>
        <w:t>8</w:t>
      </w:r>
    </w:p>
    <w:p>
      <w:pPr>
        <w:tabs>
          <w:tab w:val="right" w:leader="dot" w:pos="8800"/>
        </w:tabs>
        <w:ind w:left="420"/>
        <w:rPr>
          <w:rFonts w:hint="eastAsia" w:ascii="方正姚体" w:hAnsi="方正姚体" w:eastAsia="方正姚体" w:cs="方正姚体"/>
        </w:rPr>
      </w:pPr>
      <w:r>
        <w:rPr>
          <w:rFonts w:hint="eastAsia" w:ascii="方正姚体" w:hAnsi="方正姚体" w:eastAsia="方正姚体" w:cs="方正姚体"/>
        </w:rPr>
        <w:t>3.2  五列宽表</w:t>
      </w:r>
      <w:r>
        <w:tab/>
      </w:r>
      <w:r>
        <w:rPr>
          <w:rFonts w:hint="eastAsia" w:ascii="方正姚体" w:hAnsi="方正姚体" w:eastAsia="方正姚体" w:cs="方正姚体"/>
        </w:rPr>
        <w:t>9</w:t>
      </w:r>
    </w:p>
    <w:p>
      <w:pPr>
        <w:tabs>
          <w:tab w:val="right" w:leader="dot" w:pos="8800"/>
        </w:tabs>
        <w:ind w:left="420"/>
        <w:rPr>
          <w:rFonts w:hint="eastAsia" w:ascii="方正姚体" w:hAnsi="方正姚体" w:eastAsia="方正姚体" w:cs="方正姚体"/>
        </w:rPr>
      </w:pPr>
      <w:r>
        <w:rPr>
          <w:rFonts w:hint="eastAsia" w:ascii="方正姚体" w:hAnsi="方正姚体" w:eastAsia="方正姚体" w:cs="方正姚体"/>
        </w:rPr>
        <w:t>3.3  无标题表</w:t>
      </w:r>
      <w:r>
        <w:tab/>
      </w:r>
      <w:r>
        <w:rPr>
          <w:rFonts w:hint="eastAsia" w:ascii="方正姚体" w:hAnsi="方正姚体" w:eastAsia="方正姚体" w:cs="方正姚体"/>
        </w:rPr>
        <w:t>10</w:t>
      </w:r>
    </w:p>
    <w:p>
      <w:pPr>
        <w:tabs>
          <w:tab w:val="right" w:leader="dot" w:pos="8800"/>
        </w:tabs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第四章  公式测试</w:t>
      </w:r>
      <w:r>
        <w:tab/>
      </w:r>
      <w:r>
        <w:rPr>
          <w:rFonts w:hint="eastAsia" w:ascii="仿宋" w:hAnsi="仿宋" w:eastAsia="仿宋" w:cs="仿宋"/>
          <w:lang w:val="en-US" w:eastAsia="zh-CN"/>
        </w:rPr>
        <w:t>11</w:t>
      </w:r>
    </w:p>
    <w:p>
      <w:pPr>
        <w:tabs>
          <w:tab w:val="right" w:leader="dot" w:pos="8800"/>
        </w:tabs>
        <w:ind w:left="420"/>
        <w:rPr>
          <w:rFonts w:hint="eastAsia" w:ascii="方正姚体" w:hAnsi="方正姚体" w:eastAsia="方正姚体" w:cs="方正姚体"/>
        </w:rPr>
      </w:pPr>
      <w:r>
        <w:rPr>
          <w:rFonts w:hint="eastAsia" w:ascii="方正姚体" w:hAnsi="方正姚体" w:eastAsia="方正姚体" w:cs="方正姚体"/>
        </w:rPr>
        <w:t>4.1  OMML 直通公式</w:t>
      </w:r>
      <w:r>
        <w:tab/>
      </w:r>
      <w:r>
        <w:rPr>
          <w:rFonts w:hint="eastAsia" w:ascii="方正姚体" w:hAnsi="方正姚体" w:eastAsia="方正姚体" w:cs="方正姚体"/>
        </w:rPr>
        <w:t>11</w:t>
      </w:r>
    </w:p>
    <w:p>
      <w:pPr>
        <w:tabs>
          <w:tab w:val="right" w:leader="dot" w:pos="8800"/>
        </w:tabs>
        <w:ind w:left="420"/>
        <w:rPr>
          <w:rFonts w:hint="eastAsia" w:ascii="方正姚体" w:hAnsi="方正姚体" w:eastAsia="方正姚体" w:cs="方正姚体"/>
        </w:rPr>
      </w:pPr>
      <w:r>
        <w:rPr>
          <w:rFonts w:hint="eastAsia" w:ascii="方正姚体" w:hAnsi="方正姚体" w:eastAsia="方正姚体" w:cs="方正姚体"/>
        </w:rPr>
        <w:t>4.2  LaTeX 公式（降级测试）</w:t>
      </w:r>
      <w:r>
        <w:tab/>
      </w:r>
      <w:r>
        <w:rPr>
          <w:rFonts w:hint="eastAsia" w:ascii="方正姚体" w:hAnsi="方正姚体" w:eastAsia="方正姚体" w:cs="方正姚体"/>
        </w:rPr>
        <w:t>12</w:t>
      </w:r>
    </w:p>
    <w:p>
      <w:pPr>
        <w:tabs>
          <w:tab w:val="right" w:leader="dot" w:pos="8800"/>
        </w:tabs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第五章  图片测试</w:t>
      </w:r>
      <w:r>
        <w:tab/>
      </w:r>
      <w:r>
        <w:rPr>
          <w:rFonts w:hint="eastAsia" w:ascii="仿宋" w:hAnsi="仿宋" w:eastAsia="仿宋" w:cs="仿宋"/>
          <w:lang w:val="en-US" w:eastAsia="zh-CN"/>
        </w:rPr>
        <w:t>14</w:t>
      </w:r>
    </w:p>
    <w:p>
      <w:pPr>
        <w:tabs>
          <w:tab w:val="right" w:leader="dot" w:pos="8800"/>
        </w:tabs>
        <w:ind w:left="420"/>
        <w:rPr>
          <w:rFonts w:hint="eastAsia" w:ascii="方正姚体" w:hAnsi="方正姚体" w:eastAsia="方正姚体" w:cs="方正姚体"/>
        </w:rPr>
      </w:pPr>
      <w:r>
        <w:rPr>
          <w:rFonts w:hint="eastAsia" w:ascii="方正姚体" w:hAnsi="方正姚体" w:eastAsia="方正姚体" w:cs="方正姚体"/>
        </w:rPr>
        <w:t>5.1  base64 图片</w:t>
      </w:r>
      <w:r>
        <w:tab/>
      </w:r>
      <w:r>
        <w:rPr>
          <w:rFonts w:hint="eastAsia" w:ascii="方正姚体" w:hAnsi="方正姚体" w:eastAsia="方正姚体" w:cs="方正姚体"/>
        </w:rPr>
        <w:t>14</w:t>
      </w:r>
    </w:p>
    <w:p>
      <w:pPr>
        <w:tabs>
          <w:tab w:val="right" w:leader="dot" w:pos="8800"/>
        </w:tabs>
        <w:ind w:left="420"/>
        <w:rPr>
          <w:rFonts w:hint="eastAsia" w:ascii="方正姚体" w:hAnsi="方正姚体" w:eastAsia="方正姚体" w:cs="方正姚体"/>
        </w:rPr>
      </w:pPr>
      <w:r>
        <w:rPr>
          <w:rFonts w:hint="eastAsia" w:ascii="方正姚体" w:hAnsi="方正姚体" w:eastAsia="方正姚体" w:cs="方正姚体"/>
        </w:rPr>
        <w:t>5.2  本地路径图片</w:t>
      </w:r>
      <w:r>
        <w:tab/>
      </w:r>
      <w:r>
        <w:rPr>
          <w:rFonts w:hint="eastAsia" w:ascii="方正姚体" w:hAnsi="方正姚体" w:eastAsia="方正姚体" w:cs="方正姚体"/>
        </w:rPr>
        <w:t>15</w:t>
      </w:r>
    </w:p>
    <w:p>
      <w:pPr>
        <w:tabs>
          <w:tab w:val="right" w:leader="dot" w:pos="8800"/>
        </w:tabs>
        <w:ind w:left="420"/>
        <w:rPr>
          <w:rFonts w:hint="eastAsia" w:ascii="方正姚体" w:hAnsi="方正姚体" w:eastAsia="方正姚体" w:cs="方正姚体"/>
        </w:rPr>
      </w:pPr>
      <w:r>
        <w:rPr>
          <w:rFonts w:hint="eastAsia" w:ascii="方正姚体" w:hAnsi="方正姚体" w:eastAsia="方正姚体" w:cs="方正姚体"/>
        </w:rPr>
        <w:t>5.3  对齐方式测试</w:t>
      </w:r>
      <w:r>
        <w:tab/>
      </w:r>
      <w:r>
        <w:rPr>
          <w:rFonts w:hint="eastAsia" w:ascii="方正姚体" w:hAnsi="方正姚体" w:eastAsia="方正姚体" w:cs="方正姚体"/>
        </w:rPr>
        <w:t>16</w:t>
      </w:r>
    </w:p>
    <w:p>
      <w:pPr>
        <w:tabs>
          <w:tab w:val="right" w:leader="dot" w:pos="8800"/>
        </w:tabs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结  论</w:t>
      </w:r>
      <w:r>
        <w:tab/>
      </w:r>
      <w:r>
        <w:rPr>
          <w:rFonts w:hint="eastAsia" w:ascii="仿宋" w:hAnsi="仿宋" w:eastAsia="仿宋" w:cs="仿宋"/>
          <w:lang w:val="en-US" w:eastAsia="zh-CN"/>
        </w:rPr>
        <w:t>18</w:t>
      </w:r>
    </w:p>
    <w:p>
      <w:pPr>
        <w:tabs>
          <w:tab w:val="right" w:leader="dot" w:pos="8800"/>
        </w:tabs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参考文献</w:t>
      </w:r>
      <w:r>
        <w:tab/>
      </w:r>
      <w:r>
        <w:rPr>
          <w:rFonts w:hint="eastAsia" w:ascii="仿宋" w:hAnsi="仿宋" w:eastAsia="仿宋" w:cs="仿宋"/>
          <w:lang w:val="en-US" w:eastAsia="zh-CN"/>
        </w:rPr>
        <w:t>20</w:t>
      </w:r>
    </w:p>
    <w:p>
      <w:pPr>
        <w:tabs>
          <w:tab w:val="right" w:leader="dot" w:pos="8800"/>
        </w:tabs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致  谢</w:t>
      </w:r>
      <w:r>
        <w:tab/>
      </w:r>
      <w:r>
        <w:rPr>
          <w:rFonts w:hint="eastAsia" w:ascii="仿宋" w:hAnsi="仿宋" w:eastAsia="仿宋" w:cs="仿宋"/>
          <w:lang w:val="en-US" w:eastAsia="zh-CN"/>
        </w:rPr>
        <w:t>23</w:t>
      </w:r>
    </w:p>
    <w:p>
      <w:pPr>
        <w:tabs>
          <w:tab w:val="right" w:leader="dot" w:pos="8800"/>
        </w:tabs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已发表的学术论文目录</w:t>
      </w:r>
      <w:r>
        <w:tab/>
      </w:r>
      <w:r>
        <w:rPr>
          <w:rFonts w:hint="eastAsia" w:ascii="仿宋" w:hAnsi="仿宋" w:eastAsia="仿宋" w:cs="仿宋"/>
          <w:lang w:val="en-US" w:eastAsia="zh-CN"/>
        </w:rPr>
        <w:t>24</w:t>
      </w:r>
    </w:p>
    <w:p/>
    <w:p>
      <w:pPr>
        <w:sectPr>
          <w:footerReference w:type="default" r:id="rId12"/>
          <w:type w:val="nextPage"/>
          <w:pgNumType w:fmt="lowerRoman" w:start="1"/>
        </w:sectPr>
      </w:pPr>
    </w:p>
    <w:p>
      <w:pPr>
        <w:pStyle w:val="Heading1"/>
        <w:spacing w:before="480" w:after="240"/>
        <w:jc w:val="center"/>
        <w:outlineLvl w:val="0"/>
      </w:pPr>
      <w:r>
        <w:rPr>
          <w:rFonts w:hint="eastAsia" w:ascii="幼圆" w:hAnsi="幼圆" w:eastAsia="幼圆" w:cs="幼圆"/>
          <w:b/>
          <w:sz w:val="32"/>
          <w:szCs w:val="32"/>
          <w:lang w:val="en-US" w:eastAsia="zh-CN"/>
          <w:color w:val="000000"/>
        </w:rPr>
        <w:t>第一章  引言</w:t>
      </w:r>
    </w:p>
    <w:p>
      <w:pPr>
        <w:spacing w:line="360" w:lineRule="auto"/>
        <w:ind w:firstLine="480"/>
      </w:pPr>
      <w:r>
        <w:rPr>
          <w:rFonts w:hint="eastAsia" w:ascii="隶书" w:hAnsi="隶书" w:eastAsia="隶书" w:cs="隶书"/>
          <w:sz w:val="96"/>
          <w:szCs w:val="96"/>
          <w:color w:val="000000"/>
        </w:rPr>
        <w:t>docx_inline_tag_engine 是一套基于模板驱动的 Word 文档自动排版引擎，通过解析 [[块标记]] 提取样式，结合 JSON 数据生成格式规范的文档。本章节介绍研究背景与本文主要贡献。</w:t>
      </w:r>
    </w:p>
    <w:p>
      <w:pPr>
        <w:pStyle w:val="Heading2"/>
        <w:spacing w:before="240" w:after="120"/>
        <w:jc w:val="left"/>
        <w:outlineLvl w:val="1"/>
      </w:pPr>
      <w:r>
        <w:rPr>
          <w:rFonts w:hint="eastAsia" w:ascii="隶书" w:hAnsi="隶书" w:eastAsia="隶书" w:cs="隶书"/>
          <w:b/>
          <w:sz w:val="28"/>
          <w:szCs w:val="28"/>
          <w:color w:val="000000"/>
        </w:rPr>
        <w:t>1.1  研究背景</w:t>
      </w:r>
    </w:p>
    <w:p>
      <w:pPr>
        <w:spacing w:line="360" w:lineRule="auto"/>
        <w:ind w:firstLine="480"/>
      </w:pPr>
      <w:r>
        <w:rPr>
          <w:rFonts w:hint="eastAsia" w:ascii="隶书" w:hAnsi="隶书" w:eastAsia="隶书" w:cs="隶书"/>
          <w:sz w:val="96"/>
          <w:szCs w:val="96"/>
          <w:color w:val="000000"/>
        </w:rPr>
        <w:t>Word 文档的格式规范通常由机构统一制定，包含字体、字号、行距、缩进、页码等数十项参数。手动逐一设置效率低、一致性差。</w:t>
        <w:br/>
        <w:br/>
        <w:t>现有解决方案（如 LaTeX、Pandoc）学习曲线陡峭，且最终输出格式与机构要求往往存在差距，需要大量手动调整。</w:t>
      </w:r>
    </w:p>
    <w:p>
      <w:pPr>
        <w:pStyle w:val="Heading2"/>
        <w:spacing w:before="240" w:after="120"/>
        <w:jc w:val="left"/>
        <w:outlineLvl w:val="1"/>
      </w:pPr>
      <w:r>
        <w:rPr>
          <w:rFonts w:hint="eastAsia" w:ascii="隶书" w:hAnsi="隶书" w:eastAsia="隶书" w:cs="隶书"/>
          <w:b/>
          <w:sz w:val="28"/>
          <w:szCs w:val="28"/>
          <w:color w:val="000000"/>
        </w:rPr>
        <w:t>1.2  本文贡献</w:t>
      </w:r>
    </w:p>
    <w:p>
      <w:pPr>
        <w:spacing w:line="360" w:lineRule="auto"/>
        <w:ind w:firstLine="480"/>
      </w:pPr>
      <w:r>
        <w:rPr>
          <w:rFonts w:hint="eastAsia" w:ascii="隶书" w:hAnsi="隶书" w:eastAsia="隶书" w:cs="隶书"/>
          <w:sz w:val="96"/>
          <w:szCs w:val="96"/>
          <w:color w:val="000000"/>
        </w:rPr>
        <w:t>本文的主要贡献包括：</w:t>
        <w:br/>
        <w:br/>
        <w:t>（1）[[块标记]] 机制：用现有的格式规范文档直接作为模板，无需额外描述格式参数。</w:t>
        <w:br/>
        <w:br/>
        <w:t>（2）全类型内容支持：标题、正文、表格、公式（OMML/LaTeX）、图片（base64/path）、摘要、结论、致谢、目录、页脚。</w:t>
        <w:br/>
        <w:br/>
        <w:t>（3）自然语言页脚描述：通过 LLM 或规则引擎将自然语言映射为页脚格式配置，无需了解 Word XML 细节。</w:t>
      </w:r>
    </w:p>
    <w:p>
      <w:pPr>
        <w:pStyle w:val="Heading1"/>
        <w:spacing w:before="480" w:after="240"/>
        <w:jc w:val="center"/>
        <w:outlineLvl w:val="0"/>
      </w:pPr>
      <w:r>
        <w:rPr>
          <w:rFonts w:hint="eastAsia" w:ascii="幼圆" w:hAnsi="幼圆" w:eastAsia="幼圆" w:cs="幼圆"/>
          <w:b/>
          <w:sz w:val="32"/>
          <w:szCs w:val="32"/>
          <w:lang w:val="en-US" w:eastAsia="zh-CN"/>
          <w:color w:val="000000"/>
        </w:rPr>
        <w:t>第二章  正文排版测试</w:t>
      </w:r>
    </w:p>
    <w:p>
      <w:pPr>
        <w:pStyle w:val="Heading2"/>
        <w:spacing w:before="240" w:after="120"/>
        <w:jc w:val="left"/>
        <w:outlineLvl w:val="1"/>
      </w:pPr>
      <w:r>
        <w:rPr>
          <w:rFonts w:hint="eastAsia" w:ascii="隶书" w:hAnsi="隶书" w:eastAsia="隶书" w:cs="隶书"/>
          <w:b/>
          <w:sz w:val="28"/>
          <w:szCs w:val="28"/>
          <w:color w:val="000000"/>
        </w:rPr>
        <w:t>2.1  标题三级测试</w:t>
      </w:r>
    </w:p>
    <w:p>
      <w:pPr>
        <w:pStyle w:val="Heading3"/>
        <w:spacing w:before="120" w:after="60"/>
        <w:jc w:val="left"/>
        <w:outlineLvl w:val="2"/>
      </w:pPr>
      <w:r>
        <w:rPr>
          <w:rFonts w:hint="eastAsia" w:ascii="隶书" w:hAnsi="隶书" w:eastAsia="隶书" w:cs="隶书"/>
          <w:b/>
          <w:sz w:val="24"/>
          <w:szCs w:val="24"/>
          <w:color w:val="000000"/>
        </w:rPr>
        <w:t>2.1.1  三级标题A（进目录）</w:t>
      </w:r>
    </w:p>
    <w:p>
      <w:pPr>
        <w:spacing w:line="360" w:lineRule="auto"/>
        <w:ind w:firstLine="480"/>
      </w:pPr>
      <w:r>
        <w:rPr>
          <w:rFonts w:hint="eastAsia" w:ascii="隶书" w:hAnsi="隶书" w:eastAsia="隶书" w:cs="隶书"/>
          <w:sz w:val="96"/>
          <w:szCs w:val="96"/>
          <w:color w:val="000000"/>
        </w:rPr>
        <w:t>本节的三级标题设置 toc_exclude=false（默认），会出现在 TOC 域中。</w:t>
      </w:r>
    </w:p>
    <w:p>
      <w:pPr>
        <w:pStyle w:val="Heading3"/>
        <w:spacing w:before="120" w:after="60"/>
        <w:jc w:val="left"/>
        <w:outlineLvl w:val="9"/>
      </w:pPr>
      <w:r>
        <w:rPr>
          <w:rFonts w:hint="eastAsia" w:ascii="隶书" w:hAnsi="隶书" w:eastAsia="隶书" w:cs="隶书"/>
          <w:b/>
          <w:sz w:val="24"/>
          <w:szCs w:val="24"/>
          <w:color w:val="000000"/>
        </w:rPr>
        <w:t>2.1.2  三级标题B（toc_exclude=true）</w:t>
      </w:r>
    </w:p>
    <w:p>
      <w:pPr>
        <w:spacing w:line="360" w:lineRule="auto"/>
        <w:ind w:firstLine="480"/>
      </w:pPr>
      <w:r>
        <w:rPr>
          <w:rFonts w:hint="eastAsia" w:ascii="隶书" w:hAnsi="隶书" w:eastAsia="隶书" w:cs="隶书"/>
          <w:sz w:val="96"/>
          <w:szCs w:val="96"/>
          <w:color w:val="000000"/>
        </w:rPr>
        <w:t>本节的三级标题设置了 toc_exclude=true，因此不会被 TOC \o 域扫描到。</w:t>
        <w:br/>
        <w:br/>
        <w:t>注意：在 manual 模式下，toc_entries 里仍然可以手动列入这个条目，两者是独立控制的——toc_exclude 只影响 auto 模式的 TOC 域。</w:t>
      </w:r>
    </w:p>
    <w:p>
      <w:pPr>
        <w:pStyle w:val="Heading2"/>
        <w:spacing w:before="240" w:after="120"/>
        <w:jc w:val="left"/>
        <w:outlineLvl w:val="1"/>
      </w:pPr>
      <w:r>
        <w:rPr>
          <w:rFonts w:hint="eastAsia" w:ascii="隶书" w:hAnsi="隶书" w:eastAsia="隶书" w:cs="隶书"/>
          <w:b/>
          <w:sz w:val="28"/>
          <w:szCs w:val="28"/>
          <w:color w:val="000000"/>
        </w:rPr>
        <w:t>2.2  正文多段测试</w:t>
      </w:r>
    </w:p>
    <w:p>
      <w:pPr>
        <w:spacing w:line="360" w:lineRule="auto"/>
        <w:ind w:firstLine="480"/>
      </w:pPr>
      <w:r>
        <w:rPr>
          <w:rFonts w:hint="eastAsia" w:ascii="隶书" w:hAnsi="隶书" w:eastAsia="隶书" w:cs="隶书"/>
          <w:sz w:val="96"/>
          <w:szCs w:val="96"/>
          <w:color w:val="000000"/>
        </w:rPr>
        <w:t>第一段：正文支持通过 \n\n 分隔来输入多段内容，引擎会将每个段落独立渲染为 Word 段落元素，完整保留模板中的段落格式（字体、行距、缩进等）。</w:t>
        <w:br/>
        <w:br/>
        <w:t>第二段：段落内的单个换行符 \n 会被替换为空格，因此在 JSON 中可以用换行来分隔较长的文字而不会产生多余的段落。</w:t>
        <w:br/>
        <w:br/>
        <w:t>第三段：本段验证三段输入的场景，确认段落间距正常。引擎从模板中提取的 pPr 会被应用到每一个段落上，保证整体格式一致。</w:t>
      </w:r>
    </w:p>
    <w:p>
      <w:pPr>
        <w:pStyle w:val="Heading1"/>
        <w:spacing w:before="480" w:after="240"/>
        <w:jc w:val="center"/>
        <w:outlineLvl w:val="0"/>
      </w:pPr>
      <w:r>
        <w:rPr>
          <w:rFonts w:hint="eastAsia" w:ascii="幼圆" w:hAnsi="幼圆" w:eastAsia="幼圆" w:cs="幼圆"/>
          <w:b/>
          <w:sz w:val="32"/>
          <w:szCs w:val="32"/>
          <w:lang w:val="en-US" w:eastAsia="zh-CN"/>
          <w:color w:val="000000"/>
        </w:rPr>
        <w:t>第三章  表格测试</w:t>
      </w:r>
    </w:p>
    <w:p>
      <w:pPr>
        <w:pStyle w:val="Heading2"/>
        <w:spacing w:before="240" w:after="120"/>
        <w:jc w:val="left"/>
        <w:outlineLvl w:val="1"/>
      </w:pPr>
      <w:r>
        <w:rPr>
          <w:rFonts w:hint="eastAsia" w:ascii="隶书" w:hAnsi="隶书" w:eastAsia="隶书" w:cs="隶书"/>
          <w:b/>
          <w:sz w:val="28"/>
          <w:szCs w:val="28"/>
          <w:color w:val="000000"/>
        </w:rPr>
        <w:t>3.1  三列标准表</w:t>
      </w:r>
    </w:p>
    <w:p>
      <w:pPr>
        <w:spacing w:line="360" w:lineRule="auto"/>
        <w:ind w:firstLine="480"/>
      </w:pPr>
      <w:r>
        <w:rPr>
          <w:rFonts w:hint="eastAsia" w:ascii="隶书" w:hAnsi="隶书" w:eastAsia="隶书" w:cs="隶书"/>
          <w:sz w:val="96"/>
          <w:szCs w:val="96"/>
          <w:color w:val="000000"/>
        </w:rPr>
        <w:t>表 3-1 展示了三列等宽表格，第一行自动加粗作为表头。</w:t>
      </w:r>
    </w:p>
    <w:p>
      <w:pPr>
        <w:spacing w:before="120" w:after="60"/>
        <w:jc w:val="center"/>
      </w:pPr>
      <w:r>
        <w:rPr>
          <w:b/>
          <w:sz w:val="24"/>
          <w:szCs w:val="24"/>
        </w:rPr>
        <w:t>表 3-1  实验参数设置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365"/>
        <w:gridCol w:w="1365"/>
        <w:gridCol w:w="1365"/>
        <w:gridCol w:w="1365"/>
        <w:gridCol w:w="1365"/>
      </w:tblGrid>
      <w:tr>
        <w:trPr>
          <w:trHeight w:val="989" w:hRule="atLeast"/>
          <w:jc w:val="center"/>
        </w:trPr>
        <w:tc>
          <w:tcPr>
            <w:tcW w:w="1365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>
            <w:pPr>
              <w:pStyle w:val="20"/>
              <w:adjustRightInd w:val="0"/>
              <w:spacing w:after="0"/>
              <w:ind w:left="0" w:left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b/>
                <w:rFonts w:hint="eastAsia"/>
                <w:sz w:val="21"/>
                <w:szCs w:val="21"/>
              </w:rPr>
              <w:t xml:space="preserve">参数名称</w:t>
            </w:r>
          </w:p>
        </w:tc>
        <w:tc>
          <w:tcPr>
            <w:tcW w:w="1365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>
            <w:pPr>
              <w:pStyle w:val="20"/>
              <w:adjustRightInd w:val="0"/>
              <w:spacing w:after="0"/>
              <w:ind w:left="210" w:leftChars="0" w:hanging="210" w:hangingChars="10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b/>
                <w:rFonts w:hint="eastAsia"/>
                <w:sz w:val="21"/>
                <w:szCs w:val="21"/>
              </w:rPr>
              <w:t xml:space="preserve">取值</w:t>
            </w:r>
          </w:p>
        </w:tc>
        <w:tc>
          <w:tcPr>
            <w:tcW w:w="1365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>
            <w:pPr>
              <w:pStyle w:val="20"/>
              <w:adjustRightInd w:val="0"/>
              <w:spacing w:after="0"/>
              <w:ind w:left="0" w:leftChars="0"/>
              <w:jc w:val="center"/>
              <w:rPr>
                <w:rFonts w:hint="eastAsia"/>
                <w:sz w:val="21"/>
                <w:szCs w:val="21"/>
                <w:vertAlign w:val="superscript"/>
              </w:rPr>
            </w:pPr>
            <w:r>
              <w:rPr>
                <w:b/>
                <w:rFonts w:hint="eastAsia"/>
                <w:sz w:val="21"/>
                <w:szCs w:val="21"/>
              </w:rPr>
              <w:t xml:space="preserve">说明</w:t>
            </w:r>
          </w:p>
        </w:tc>
      </w:tr>
      <w:tr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学习率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0.001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Adam 优化器初始学习率</w:t>
            </w:r>
          </w:p>
        </w:tc>
      </w:tr>
      <w:tr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批次大小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32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每次迭代样本数</w:t>
            </w:r>
          </w:p>
        </w:tc>
      </w:tr>
      <w:tr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训练轮数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100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总迭代轮数</w:t>
            </w:r>
          </w:p>
        </w:tc>
      </w:tr>
      <w:tr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Dropout率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0.3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防止过拟合</w:t>
            </w:r>
          </w:p>
        </w:tc>
      </w:tr>
    </w:tbl>
    <w:p/>
    <w:p>
      <w:pPr>
        <w:pStyle w:val="Heading2"/>
        <w:spacing w:before="240" w:after="120"/>
        <w:jc w:val="left"/>
        <w:outlineLvl w:val="1"/>
      </w:pPr>
      <w:r>
        <w:rPr>
          <w:rFonts w:hint="eastAsia" w:ascii="隶书" w:hAnsi="隶书" w:eastAsia="隶书" w:cs="隶书"/>
          <w:b/>
          <w:sz w:val="28"/>
          <w:szCs w:val="28"/>
          <w:color w:val="000000"/>
        </w:rPr>
        <w:t>3.2  五列宽表</w:t>
      </w:r>
    </w:p>
    <w:p>
      <w:pPr>
        <w:spacing w:line="360" w:lineRule="auto"/>
        <w:ind w:firstLine="480"/>
      </w:pPr>
      <w:r>
        <w:rPr>
          <w:rFonts w:hint="eastAsia" w:ascii="隶书" w:hAnsi="隶书" w:eastAsia="隶书" w:cs="隶书"/>
          <w:sz w:val="96"/>
          <w:szCs w:val="96"/>
          <w:color w:val="000000"/>
        </w:rPr>
        <w:t>表 3-2 展示了五列不等宽表格，验证列宽自动分配。</w:t>
      </w:r>
    </w:p>
    <w:p>
      <w:pPr>
        <w:spacing w:before="120" w:after="60"/>
        <w:jc w:val="center"/>
      </w:pPr>
      <w:r>
        <w:rPr>
          <w:b/>
          <w:sz w:val="24"/>
          <w:szCs w:val="24"/>
        </w:rPr>
        <w:t>表 3-2  方法性能对比（五列）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365"/>
        <w:gridCol w:w="1365"/>
        <w:gridCol w:w="1365"/>
        <w:gridCol w:w="1365"/>
        <w:gridCol w:w="1365"/>
      </w:tblGrid>
      <w:tr>
        <w:trPr>
          <w:trHeight w:val="989" w:hRule="atLeast"/>
          <w:jc w:val="center"/>
        </w:trPr>
        <w:tc>
          <w:tcPr>
            <w:tcW w:w="1365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>
            <w:pPr>
              <w:pStyle w:val="20"/>
              <w:adjustRightInd w:val="0"/>
              <w:spacing w:after="0"/>
              <w:ind w:left="0" w:left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b/>
                <w:rFonts w:hint="eastAsia"/>
                <w:sz w:val="21"/>
                <w:szCs w:val="21"/>
              </w:rPr>
              <w:t xml:space="preserve">方法</w:t>
            </w:r>
          </w:p>
        </w:tc>
        <w:tc>
          <w:tcPr>
            <w:tcW w:w="1365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>
            <w:pPr>
              <w:pStyle w:val="20"/>
              <w:adjustRightInd w:val="0"/>
              <w:spacing w:after="0"/>
              <w:ind w:left="210" w:leftChars="0" w:hanging="210" w:hangingChars="10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b/>
                <w:rFonts w:hint="eastAsia"/>
                <w:sz w:val="21"/>
                <w:szCs w:val="21"/>
              </w:rPr>
              <w:t xml:space="preserve">精度(%)</w:t>
            </w:r>
          </w:p>
        </w:tc>
        <w:tc>
          <w:tcPr>
            <w:tcW w:w="1365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>
            <w:pPr>
              <w:pStyle w:val="20"/>
              <w:adjustRightInd w:val="0"/>
              <w:spacing w:after="0"/>
              <w:ind w:left="0" w:leftChars="0"/>
              <w:jc w:val="center"/>
              <w:rPr>
                <w:rFonts w:hint="eastAsia"/>
                <w:sz w:val="21"/>
                <w:szCs w:val="21"/>
                <w:vertAlign w:val="superscript"/>
              </w:rPr>
            </w:pPr>
            <w:r>
              <w:rPr>
                <w:b/>
                <w:rFonts w:hint="eastAsia"/>
                <w:sz w:val="21"/>
                <w:szCs w:val="21"/>
              </w:rPr>
              <w:t xml:space="preserve">召回(%)</w:t>
            </w:r>
          </w:p>
        </w:tc>
        <w:tc>
          <w:tcPr>
            <w:tcW w:w="1365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>
            <w:pPr>
              <w:pStyle w:val="20"/>
              <w:adjustRightInd w:val="0"/>
              <w:spacing w:after="0"/>
              <w:ind w:left="420" w:leftChars="0" w:hanging="420" w:hangingChars="20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b/>
                <w:rFonts w:hint="eastAsia"/>
                <w:sz w:val="21"/>
                <w:szCs w:val="21"/>
              </w:rPr>
              <w:t xml:space="preserve">F1(%)</w:t>
            </w:r>
          </w:p>
        </w:tc>
        <w:tc>
          <w:tcPr>
            <w:tcW w:w="1365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>
            <w:pPr>
              <w:pStyle w:val="20"/>
              <w:adjustRightInd w:val="0"/>
              <w:spacing w:after="0"/>
              <w:ind w:left="0" w:left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b/>
                <w:rFonts w:hint="eastAsia"/>
                <w:sz w:val="21"/>
                <w:szCs w:val="21"/>
              </w:rPr>
              <w:t xml:space="preserve">推理时间(ms)</w:t>
            </w:r>
          </w:p>
        </w:tc>
      </w:tr>
      <w:tr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本文方法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98.7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97.2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97.9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12.3</w:t>
            </w:r>
          </w:p>
        </w:tc>
      </w:tr>
      <w:tr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方法A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94.1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93.8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93.9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8.7</w:t>
            </w:r>
          </w:p>
        </w:tc>
      </w:tr>
      <w:tr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方法B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96.3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95.1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95.7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21.4</w:t>
            </w:r>
          </w:p>
        </w:tc>
      </w:tr>
      <w:tr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方法C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91.5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90.0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90.7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6.1</w:t>
            </w:r>
          </w:p>
        </w:tc>
      </w:tr>
    </w:tbl>
    <w:p/>
    <w:p>
      <w:pPr>
        <w:pStyle w:val="Heading2"/>
        <w:spacing w:before="240" w:after="120"/>
        <w:jc w:val="left"/>
        <w:outlineLvl w:val="1"/>
      </w:pPr>
      <w:r>
        <w:rPr>
          <w:rFonts w:hint="eastAsia" w:ascii="隶书" w:hAnsi="隶书" w:eastAsia="隶书" w:cs="隶书"/>
          <w:b/>
          <w:sz w:val="28"/>
          <w:szCs w:val="28"/>
          <w:color w:val="000000"/>
        </w:rPr>
        <w:t>3.3  无标题表</w:t>
      </w:r>
    </w:p>
    <w:p>
      <w:pPr>
        <w:spacing w:line="360" w:lineRule="auto"/>
        <w:ind w:firstLine="480"/>
      </w:pPr>
      <w:r>
        <w:rPr>
          <w:rFonts w:hint="eastAsia" w:ascii="隶书" w:hAnsi="隶书" w:eastAsia="隶书" w:cs="隶书"/>
          <w:sz w:val="96"/>
          <w:szCs w:val="96"/>
          <w:color w:val="000000"/>
        </w:rPr>
        <w:t>下表不提供 caption 字段，验证引擎在无标题情况下的容错。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365"/>
        <w:gridCol w:w="1365"/>
        <w:gridCol w:w="1365"/>
        <w:gridCol w:w="1365"/>
        <w:gridCol w:w="1365"/>
      </w:tblGrid>
      <w:tr>
        <w:trPr>
          <w:trHeight w:val="989" w:hRule="atLeast"/>
          <w:jc w:val="center"/>
        </w:trPr>
        <w:tc>
          <w:tcPr>
            <w:tcW w:w="1365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>
            <w:pPr>
              <w:pStyle w:val="20"/>
              <w:adjustRightInd w:val="0"/>
              <w:spacing w:after="0"/>
              <w:ind w:left="0" w:left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b/>
                <w:rFonts w:hint="eastAsia"/>
                <w:sz w:val="21"/>
                <w:szCs w:val="21"/>
              </w:rPr>
              <w:t xml:space="preserve">项目A</w:t>
            </w:r>
          </w:p>
        </w:tc>
        <w:tc>
          <w:tcPr>
            <w:tcW w:w="1365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>
            <w:pPr>
              <w:pStyle w:val="20"/>
              <w:adjustRightInd w:val="0"/>
              <w:spacing w:after="0"/>
              <w:ind w:left="210" w:leftChars="0" w:hanging="210" w:hangingChars="10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b/>
                <w:rFonts w:hint="eastAsia"/>
                <w:sz w:val="21"/>
                <w:szCs w:val="21"/>
              </w:rPr>
              <w:t xml:space="preserve">项目B</w:t>
            </w:r>
          </w:p>
        </w:tc>
      </w:tr>
      <w:tr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值1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值2</w:t>
            </w:r>
          </w:p>
        </w:tc>
      </w:tr>
      <w:tr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值3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值4</w:t>
            </w:r>
          </w:p>
        </w:tc>
      </w:tr>
    </w:tbl>
    <w:p/>
    <w:p>
      <w:pPr>
        <w:pStyle w:val="Heading1"/>
        <w:spacing w:before="480" w:after="240"/>
        <w:jc w:val="center"/>
        <w:outlineLvl w:val="0"/>
      </w:pPr>
      <w:r>
        <w:rPr>
          <w:rFonts w:hint="eastAsia" w:ascii="幼圆" w:hAnsi="幼圆" w:eastAsia="幼圆" w:cs="幼圆"/>
          <w:b/>
          <w:sz w:val="32"/>
          <w:szCs w:val="32"/>
          <w:lang w:val="en-US" w:eastAsia="zh-CN"/>
          <w:color w:val="000000"/>
        </w:rPr>
        <w:t>第四章  公式测试</w:t>
      </w:r>
    </w:p>
    <w:p>
      <w:pPr>
        <w:pStyle w:val="Heading2"/>
        <w:spacing w:before="240" w:after="120"/>
        <w:jc w:val="left"/>
        <w:outlineLvl w:val="1"/>
      </w:pPr>
      <w:r>
        <w:rPr>
          <w:rFonts w:hint="eastAsia" w:ascii="隶书" w:hAnsi="隶书" w:eastAsia="隶书" w:cs="隶书"/>
          <w:b/>
          <w:sz w:val="28"/>
          <w:szCs w:val="28"/>
          <w:color w:val="000000"/>
        </w:rPr>
        <w:t>4.1  OMML 直通公式</w:t>
      </w:r>
    </w:p>
    <w:p>
      <w:pPr>
        <w:spacing w:line="360" w:lineRule="auto"/>
        <w:ind w:firstLine="480"/>
      </w:pPr>
      <w:r>
        <w:rPr>
          <w:rFonts w:hint="eastAsia" w:ascii="隶书" w:hAnsi="隶书" w:eastAsia="隶书" w:cs="隶书"/>
          <w:sz w:val="96"/>
          <w:szCs w:val="96"/>
          <w:color w:val="000000"/>
        </w:rPr>
        <w:t>下面的公式均使用 OMML 直通模式，直接将 Office Open Math XML 注入 Word 文档，无需任何额外依赖，在所有环境下均可正确渲染。</w:t>
      </w:r>
    </w:p>
    <w:p>
      <w:pPr>
        <w:jc w:val="center"/>
      </w:pPr>
      <m:oMathPara>
        <m:oMath>
          <m:f>
            <m:num>
              <m:r>
                <m:t>a + b</m:t>
              </m:r>
            </m:num>
            <m:den>
              <m:r>
                <m:t>2</m:t>
              </m:r>
            </m:den>
          </m:f>
        </m:oMath>
      </m:oMathPara>
    </w:p>
    <w:p>
      <w:pPr>
        <w:jc w:val="center"/>
        <w:tabs>
          <w:tab w:val="center" w:pos="4680"/>
          <w:tab w:val="right" w:pos="9360"/>
        </w:tabs>
      </w:pPr>
      <w:r>
        <w:tab/>
      </w:r>
      <m:oMathPara>
        <m:oMath>
          <m:r>
            <m:t>E</m:t>
          </m:r>
          <m:r>
            <m:t> = 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  <w:r>
        <w:tab/>
      </w:r>
      <w:r>
        <w:rPr>
          <w:rFonts w:hint="eastAsia" w:ascii="华文新魏" w:hAnsi="华文新魏" w:eastAsia="华文新魏" w:cs="华文新魏"/>
          <w:b w:val="0"/>
          <w:bCs w:val="0"/>
          <w:i w:val="0"/>
          <w:iCs w:val="0"/>
          <w:sz w:val="24"/>
          <w:szCs w:val="24"/>
        </w:rPr>
        <w:t>式(4-1)</w:t>
      </w:r>
    </w:p>
    <w:p>
      <w:pPr>
        <w:jc w:val="center"/>
        <w:tabs>
          <w:tab w:val="center" w:pos="4680"/>
          <w:tab w:val="right" w:pos="9360"/>
        </w:tabs>
      </w:pPr>
      <w:r>
        <w:tab/>
      </w:r>
      <m:oMathPara>
        <m:oMath>
          <m:f>
            <m:num>
              <m:r>
                <m:t>
                  <m:sSub>
                    <m:e>
                      <m:r>
                        <m:t>Σ</m:t>
                      </m:r>
                    </m:e>
                    <m:sub>
                      <m:r>
                        <m:t>i=1</m:t>
                      </m:r>
                    </m:sub>
                  </m:sSub>
                  <m:sSup>
                    <m:e>
                      <m:r>
                        <m:t>n</m:t>
                      </m:r>
                    </m:e>
                    <m:sup>
                      <m:r>
                        <m:t> </m:t>
                      </m:r>
                    </m:sup>
                  </m:sSup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t>
              </m:r>
            </m:num>
            <m:den>
              <m:r>
                <m:t>n</m:t>
              </m:r>
            </m:den>
          </m:f>
        </m:oMath>
      </m:oMathPara>
      <w:r>
        <w:tab/>
      </w:r>
      <w:r>
        <w:rPr>
          <w:rFonts w:hint="eastAsia" w:ascii="华文新魏" w:hAnsi="华文新魏" w:eastAsia="华文新魏" w:cs="华文新魏"/>
          <w:b w:val="0"/>
          <w:bCs w:val="0"/>
          <w:i w:val="0"/>
          <w:iCs w:val="0"/>
          <w:sz w:val="24"/>
          <w:szCs w:val="24"/>
        </w:rPr>
        <w:t>式(4-2)</w:t>
      </w:r>
    </w:p>
    <w:p>
      <w:pPr>
        <w:jc w:val="center"/>
        <w:tabs>
          <w:tab w:val="center" w:pos="4680"/>
          <w:tab w:val="right" w:pos="9360"/>
        </w:tabs>
      </w:pPr>
      <w:r>
        <w:tab/>
      </w:r>
      <m:oMathPara>
        <m:oMath>
          <m:rad>
            <m:radPr>
              <m:degHide m:val="1"/>
            </m:radPr>
            <m:deg/>
            <m:e>
              <m:r>
                <m:t>a² + b²</m:t>
              </m:r>
            </m:e>
          </m:rad>
        </m:oMath>
      </m:oMathPara>
      <w:r>
        <w:tab/>
      </w:r>
      <w:r>
        <w:rPr>
          <w:rFonts w:hint="eastAsia" w:ascii="华文新魏" w:hAnsi="华文新魏" w:eastAsia="华文新魏" w:cs="华文新魏"/>
          <w:b w:val="0"/>
          <w:bCs w:val="0"/>
          <w:i w:val="0"/>
          <w:iCs w:val="0"/>
          <w:sz w:val="24"/>
          <w:szCs w:val="24"/>
        </w:rPr>
        <w:t>式(4-3)</w:t>
      </w:r>
    </w:p>
    <w:p>
      <w:pPr>
        <w:jc w:val="center"/>
        <w:tabs>
          <w:tab w:val="center" w:pos="4680"/>
          <w:tab w:val="right" w:pos="9360"/>
        </w:tabs>
      </w:pPr>
      <w:r>
        <w:tab/>
      </w:r>
      <m:oMathPara>
        <m:oMath>
          <m:r>
            <m:t>σ</m:t>
          </m:r>
          <m:r>
            <m:t> = </m:t>
          </m:r>
          <m:rad>
            <m:radPr>
              <m:degHide m:val="1"/>
            </m:radPr>
            <m:deg/>
            <m:e>
              <m:r>
                <m:t>
                  <m:f>
                    <m:num>
                      <m:r>
                        <m:t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t>(x_i - μ)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t>
                      </m:r>
                    </m:num>
                    <m:den>
                      <m:r>
                        <m:t>n</m:t>
                      </m:r>
                    </m:den>
                  </m:f>
                </m:t>
              </m:r>
            </m:e>
          </m:rad>
        </m:oMath>
      </m:oMathPara>
      <w:r>
        <w:tab/>
      </w:r>
      <w:r>
        <w:rPr>
          <w:rFonts w:hint="eastAsia" w:ascii="华文新魏" w:hAnsi="华文新魏" w:eastAsia="华文新魏" w:cs="华文新魏"/>
          <w:b w:val="0"/>
          <w:bCs w:val="0"/>
          <w:i w:val="0"/>
          <w:iCs w:val="0"/>
          <w:sz w:val="24"/>
          <w:szCs w:val="24"/>
        </w:rPr>
        <w:t>式(4-4)</w:t>
      </w:r>
    </w:p>
    <w:p>
      <w:pPr>
        <w:pStyle w:val="Heading2"/>
        <w:spacing w:before="240" w:after="120"/>
        <w:jc w:val="left"/>
        <w:outlineLvl w:val="1"/>
      </w:pPr>
      <w:r>
        <w:rPr>
          <w:rFonts w:hint="eastAsia" w:ascii="隶书" w:hAnsi="隶书" w:eastAsia="隶书" w:cs="隶书"/>
          <w:b/>
          <w:sz w:val="28"/>
          <w:szCs w:val="28"/>
          <w:color w:val="000000"/>
        </w:rPr>
        <w:t>4.2  LaTeX 公式（降级测试）</w:t>
      </w:r>
    </w:p>
    <w:p>
      <w:pPr>
        <w:spacing w:line="360" w:lineRule="auto"/>
        <w:ind w:firstLine="480"/>
      </w:pPr>
      <w:r>
        <w:rPr>
          <w:rFonts w:hint="eastAsia" w:ascii="隶书" w:hAnsi="隶书" w:eastAsia="隶书" w:cs="隶书"/>
          <w:sz w:val="96"/>
          <w:szCs w:val="96"/>
          <w:color w:val="000000"/>
        </w:rPr>
        <w:t>下面的公式使用 latex 字段输入。若已安装 latex2mathml，会转换为 OMML 渲染；否则退化为纯文本显示（引擎不会报错）。</w:t>
      </w:r>
    </w:p>
    <w:p>
      <w:pPr>
        <w:jc w:val="center"/>
      </w:pPr>
      <w:r>
        <w:t>f(x) = \frac{1}{\sigma\sqrt{2\pi}} e^{-\frac{(x-\mu)^2}{2\sigma^2}}    式(4-5)</w:t>
      </w:r>
    </w:p>
    <w:p>
      <w:pPr>
        <w:jc w:val="center"/>
      </w:pPr>
      <w:r>
        <w:t>\hat{y} = \frac{\sum_{i=1}^{n} w_i x_i}{\sum_{i=1}^{n} w_i}    式(4-6)</w:t>
      </w:r>
    </w:p>
    <w:p>
      <w:pPr>
        <w:pStyle w:val="Heading1"/>
        <w:spacing w:before="480" w:after="240"/>
        <w:jc w:val="center"/>
        <w:outlineLvl w:val="0"/>
      </w:pPr>
      <w:r>
        <w:rPr>
          <w:rFonts w:hint="eastAsia" w:ascii="幼圆" w:hAnsi="幼圆" w:eastAsia="幼圆" w:cs="幼圆"/>
          <w:b/>
          <w:sz w:val="32"/>
          <w:szCs w:val="32"/>
          <w:lang w:val="en-US" w:eastAsia="zh-CN"/>
          <w:color w:val="000000"/>
        </w:rPr>
        <w:t>第五章  图片测试</w:t>
      </w:r>
    </w:p>
    <w:p>
      <w:pPr>
        <w:pStyle w:val="Heading2"/>
        <w:spacing w:before="240" w:after="120"/>
        <w:jc w:val="left"/>
        <w:outlineLvl w:val="1"/>
      </w:pPr>
      <w:r>
        <w:rPr>
          <w:rFonts w:hint="eastAsia" w:ascii="隶书" w:hAnsi="隶书" w:eastAsia="隶书" w:cs="隶书"/>
          <w:b/>
          <w:sz w:val="28"/>
          <w:szCs w:val="28"/>
          <w:color w:val="000000"/>
        </w:rPr>
        <w:t>5.1  base64 图片</w:t>
      </w:r>
    </w:p>
    <w:p>
      <w:pPr>
        <w:spacing w:line="360" w:lineRule="auto"/>
        <w:ind w:firstLine="480"/>
      </w:pPr>
      <w:r>
        <w:rPr>
          <w:rFonts w:hint="eastAsia" w:ascii="隶书" w:hAnsi="隶书" w:eastAsia="隶书" w:cs="隶书"/>
          <w:sz w:val="96"/>
          <w:szCs w:val="96"/>
          <w:color w:val="000000"/>
        </w:rPr>
        <w:t>下面三张图片均使用 base64 内嵌模式（"base64" + "ext" 字段），图片数据直接存储在 JSON 中，无需外部文件依赖，适合跨机器、跨平台的数据交换场景。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000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0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hint="eastAsia" w:ascii="华文行楷" w:hAnsi="华文行楷" w:eastAsia="华文行楷" w:cs="华文行楷"/>
          <w:b/>
          <w:bCs/>
          <w:sz w:val="96"/>
          <w:szCs w:val="96"/>
        </w:rPr>
        <w:t>图 5-1  系统架构示意图（base64，居中，3.5英寸）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000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0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hint="eastAsia" w:ascii="华文行楷" w:hAnsi="华文行楷" w:eastAsia="华文行楷" w:cs="华文行楷"/>
          <w:b/>
          <w:bCs/>
          <w:sz w:val="96"/>
          <w:szCs w:val="96"/>
        </w:rPr>
        <w:t>图 5-2  性能曲线对比图（base64，居中，3.5英寸）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14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  <w:jc w:val="left"/>
        <w:outlineLvl w:val="1"/>
      </w:pPr>
      <w:r>
        <w:rPr>
          <w:rFonts w:hint="eastAsia" w:ascii="隶书" w:hAnsi="隶书" w:eastAsia="隶书" w:cs="隶书"/>
          <w:b/>
          <w:sz w:val="28"/>
          <w:szCs w:val="28"/>
          <w:color w:val="000000"/>
        </w:rPr>
        <w:t>5.2  本地路径图片</w:t>
      </w:r>
    </w:p>
    <w:p>
      <w:pPr>
        <w:spacing w:line="360" w:lineRule="auto"/>
        <w:ind w:firstLine="480"/>
      </w:pPr>
      <w:r>
        <w:rPr>
          <w:rFonts w:hint="eastAsia" w:ascii="隶书" w:hAnsi="隶书" w:eastAsia="隶书" w:cs="隶书"/>
          <w:sz w:val="96"/>
          <w:szCs w:val="96"/>
          <w:color w:val="000000"/>
        </w:rPr>
        <w:t>下面的图片使用 "path" 字段指定本地文件路径：</w:t>
        <w:br/>
        <w:br/>
        <w:t xml:space="preserve">  "path": "/mnt/user-data/outputs/test_figure.png"</w:t>
        <w:br/>
        <w:br/>
        <w:t>引擎读取该路径的文件内容并嵌入文档。若文件不存在，引擎会自动插入占位文字而不报错。</w:t>
      </w:r>
    </w:p>
    <w:p>
      <w:pPr>
        <w:jc w:val="center"/>
      </w:pPr>
      <w:r>
        <w:t>[图片占位：图 5-3  棋盘格测试图（path 模式，居中，3.0英寸）]</w:t>
      </w:r>
    </w:p>
    <w:p>
      <w:pPr>
        <w:jc w:val="center"/>
      </w:pPr>
      <w:r>
        <w:t>[图片占位：图 5-4  不存在的图片（应显示占位文字）]</w:t>
      </w:r>
    </w:p>
    <w:p>
      <w:pPr>
        <w:pStyle w:val="Heading2"/>
        <w:spacing w:before="240" w:after="120"/>
        <w:jc w:val="left"/>
        <w:outlineLvl w:val="1"/>
      </w:pPr>
      <w:r>
        <w:rPr>
          <w:rFonts w:hint="eastAsia" w:ascii="隶书" w:hAnsi="隶书" w:eastAsia="隶书" w:cs="隶书"/>
          <w:b/>
          <w:sz w:val="28"/>
          <w:szCs w:val="28"/>
          <w:color w:val="000000"/>
        </w:rPr>
        <w:t>5.3  对齐方式测试</w:t>
      </w:r>
    </w:p>
    <w:p>
      <w:pPr>
        <w:spacing w:line="360" w:lineRule="auto"/>
        <w:ind w:firstLine="480"/>
      </w:pPr>
      <w:r>
        <w:rPr>
          <w:rFonts w:hint="eastAsia" w:ascii="隶书" w:hAnsi="隶书" w:eastAsia="隶书" w:cs="隶书"/>
          <w:sz w:val="96"/>
          <w:szCs w:val="96"/>
          <w:color w:val="000000"/>
        </w:rPr>
        <w:t>下面三张小图分别测试 left / center / right 三种对齐方式。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857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5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hint="eastAsia" w:ascii="华文行楷" w:hAnsi="华文行楷" w:eastAsia="华文行楷" w:cs="华文行楷"/>
          <w:b/>
          <w:bCs/>
          <w:sz w:val="96"/>
          <w:szCs w:val="96"/>
        </w:rPr>
        <w:t>左对齐图（1.5英寸）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857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5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hint="eastAsia" w:ascii="华文行楷" w:hAnsi="华文行楷" w:eastAsia="华文行楷" w:cs="华文行楷"/>
          <w:b/>
          <w:bCs/>
          <w:sz w:val="96"/>
          <w:szCs w:val="96"/>
        </w:rPr>
        <w:t>居中图（1.5英寸）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857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5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hint="eastAsia" w:ascii="华文行楷" w:hAnsi="华文行楷" w:eastAsia="华文行楷" w:cs="华文行楷"/>
          <w:b/>
          <w:bCs/>
          <w:sz w:val="96"/>
          <w:szCs w:val="96"/>
        </w:rPr>
        <w:t>右对齐图（1.5英寸）</w:t>
      </w:r>
    </w:p>
    <w:p/>
    <w:p>
      <w:pPr>
        <w:pStyle w:val="Heading1"/>
        <w:spacing w:before="480" w:after="240"/>
        <w:jc w:val="center"/>
        <w:outlineLvl w:val="0"/>
      </w:pPr>
      <w:r>
        <w:rPr>
          <w:rFonts w:hint="eastAsia" w:ascii="幼圆" w:hAnsi="幼圆" w:eastAsia="幼圆" w:cs="幼圆"/>
          <w:b/>
          <w:sz w:val="32"/>
          <w:szCs w:val="32"/>
          <w:lang w:val="en-US" w:eastAsia="zh-CN"/>
          <w:color w:val="000000"/>
        </w:rPr>
        <w:t>结  论</w:t>
      </w:r>
    </w:p>
    <w:p>
      <w:r>
        <w:t>本测试文档验证了 docx_inline_tag_engine v5 的全部功能模块：</w:t>
      </w:r>
    </w:p>
    <w:p>
      <w:r>
        <w:t>（1）前置章节（摘要/英文摘要）：标题样式独立，toc_exclude 正常工作。</w:t>
      </w:r>
    </w:p>
    <w:p>
      <w:r>
        <w:t>（2）目录：manual 模式支持前置页罗马数字 + 正文阿拉伯数字混用，格式由模板 [[目录]] 块控制。</w:t>
      </w:r>
    </w:p>
    <w:p>
      <w:r>
        <w:t>（3）表格：三列标准表、五列宽表、无标题表均正常渲染，表头自动加粗，格式继承模板样式。</w:t>
      </w:r>
    </w:p>
    <w:p>
      <w:r>
        <w:t>（4）公式：OMML 直通的五种结构（简单分数、上标、求和、根号、嵌套）全部正确；LaTeX 模式在有/无依赖两种情况下均不报错。</w:t>
      </w:r>
    </w:p>
    <w:p>
      <w:r>
        <w:t>（5）图片：base64 和 path 两种来源均正常插入；三种对齐方式（left/center/right）均正确；无效路径优雅降级为占位文字。</w:t>
      </w:r>
    </w:p>
    <w:p>
      <w:r>
        <w:t>（6）页脚：前置页小写罗马数字、正文 -X- 格式，分节独立计数。</w:t>
      </w:r>
    </w:p>
    <w:p/>
    <w:p>
      <w:pPr>
        <w:pStyle w:val="Heading1"/>
        <w:spacing w:before="480" w:after="240"/>
        <w:jc w:val="center"/>
        <w:outlineLvl w:val="0"/>
      </w:pPr>
      <w:r>
        <w:rPr>
          <w:rFonts w:hint="eastAsia" w:ascii="幼圆" w:hAnsi="幼圆" w:eastAsia="幼圆" w:cs="幼圆"/>
          <w:b/>
          <w:sz w:val="32"/>
          <w:szCs w:val="32"/>
          <w:lang w:val="en-US" w:eastAsia="zh-CN"/>
          <w:color w:val="000000"/>
        </w:rPr>
        <w:t>致  谢</w:t>
      </w:r>
    </w:p>
    <w:p>
      <w:r>
        <w:t>感谢 python-docx 开源社区提供了优秀的 Word XML 操作接口</w:t>
      </w:r>
      <w:r>
        <w:rPr>
          <w:vertAlign w:val="superscript"/>
        </w:rPr>
      </w:r>
      <w:r>
        <w:t xml:space="preserve">。</w:t>
      </w:r>
    </w:p>
    <w:p>
      <w:r>
        <w:t>感谢所有提供反馈和建议的用户，你们的意见直接推动了引擎功能的完善。</w:t>
      </w:r>
    </w:p>
    <w:p/>
    <w:p>
      <w:pPr>
        <w:pStyle w:val="Heading1"/>
        <w:spacing w:before="480" w:after="240"/>
        <w:jc w:val="center"/>
        <w:outlineLvl w:val="0"/>
      </w:pPr>
      <w:r>
        <w:rPr>
          <w:rFonts w:hint="eastAsia" w:ascii="幼圆" w:hAnsi="幼圆" w:eastAsia="幼圆" w:cs="幼圆"/>
          <w:b/>
          <w:sz w:val="32"/>
          <w:szCs w:val="32"/>
          <w:lang w:val="en-US" w:eastAsia="zh-CN"/>
          <w:color w:val="000000"/>
        </w:rPr>
        <w:t>已发表的学术论文目录</w:t>
      </w:r>
    </w:p>
    <w:p>
      <w:r>
        <w:t>1. 张三, 李四. 基于标记驱动的 Word 文档自动排版引擎[J]. 计算机应用研究, 2025, 42(6): 1-8.</w:t>
      </w:r>
    </w:p>
    <w:p>
      <w:r>
        <w:t>2. Zhang S, Li S. Tag-driven Automatic Typesetting for Academic Documents[C]. ICDAR 2025, 2025: 234-241.</w:t>
      </w:r>
    </w:p>
    <w:p/>
    <w:p>
      <w:pPr>
        <w:pStyle w:val="Heading1"/>
        <w:spacing w:before="480" w:after="240"/>
        <w:jc w:val="center"/>
        <w:outlineLvl w:val="9"/>
      </w:pPr>
      <w:r>
        <w:rPr>
          <w:rFonts w:hint="eastAsia" w:ascii="幼圆" w:hAnsi="幼圆" w:eastAsia="幼圆" w:cs="幼圆"/>
          <w:b/>
          <w:sz w:val="32"/>
          <w:szCs w:val="32"/>
          <w:lang w:val="en-US" w:eastAsia="zh-CN"/>
          <w:color w:val="000000"/>
        </w:rPr>
        <w:t>附录A  OMML 参考速查</w:t>
      </w:r>
    </w:p>
    <w:p>
      <w:r>
        <w:t>常用 OMML 元素速查：</w:t>
      </w:r>
    </w:p>
    <w:p>
      <w:r>
        <w:t>m:f        → 分数（num/den）</w:t>
      </w:r>
    </w:p>
    <w:p>
      <w:r>
        <w:t>m:sSup     → 上标（e/sup）</w:t>
      </w:r>
    </w:p>
    <w:p>
      <w:r>
        <w:t>m:sSub     → 下标（e/sub）</w:t>
      </w:r>
    </w:p>
    <w:p>
      <w:r>
        <w:t>m:sSubSup  → 上下标（e/sub/sup）</w:t>
      </w:r>
    </w:p>
    <w:p>
      <w:r>
        <w:t>m:rad      → 根号（radPr/deg/e）</w:t>
      </w:r>
    </w:p>
    <w:p>
      <w:r>
        <w:t>m:r + m:t  → 文字 run</w:t>
      </w:r>
    </w:p>
    <w:p>
      <w:pPr>
        <w:pStyle w:val="Heading1"/>
        <w:spacing w:before="480" w:after="240"/>
        <w:jc w:val="center"/>
        <w:outlineLvl w:val="0"/>
      </w:pPr>
      <w:r>
        <w:rPr>
          <w:rFonts w:hint="eastAsia" w:ascii="幼圆" w:hAnsi="幼圆" w:eastAsia="幼圆" w:cs="幼圆"/>
          <w:b/>
          <w:sz w:val="32"/>
          <w:szCs w:val="32"/>
          <w:lang w:val="en-US" w:eastAsia="zh-CN"/>
          <w:color w:val="000000"/>
        </w:rPr>
        <w:t>参考文献</w:t>
      </w:r>
    </w:p>
    <w:p>
      <w:pPr>
        <w:ind w:left="480" w:hanging="480"/>
      </w:pPr>
      <w:r>
        <w:rPr>
          <w:b/>
          <w:bCs/>
          <w:sz w:val="72"/>
          <w:szCs w:val="72"/>
        </w:rPr>
        <w:t xml:space="preserve">[1] </w:t>
      </w:r>
      <w:r>
        <w:rPr>
          <w:b/>
          <w:bCs/>
          <w:sz w:val="72"/>
          <w:szCs w:val="72"/>
        </w:rPr>
        <w:t>Knuth D E. The TeXbook[M]. Reading, MA: Addison-Wesley Professional, 1984.</w:t>
      </w:r>
    </w:p>
    <w:p>
      <w:pPr>
        <w:ind w:left="480" w:hanging="480"/>
      </w:pPr>
      <w:r>
        <w:rPr>
          <w:b/>
          <w:bCs/>
          <w:sz w:val="72"/>
          <w:szCs w:val="72"/>
        </w:rPr>
        <w:t xml:space="preserve">[2] </w:t>
      </w:r>
      <w:r>
        <w:rPr>
          <w:b/>
          <w:bCs/>
          <w:sz w:val="72"/>
          <w:szCs w:val="72"/>
        </w:rPr>
        <w:t>Clark A. python-docx: Create and update Microsoft Word .docx files[EB/OL]. https://python-docx.readthedocs.io, 2023.</w:t>
      </w:r>
    </w:p>
    <w:p>
      <w:pPr>
        <w:ind w:left="480" w:hanging="480"/>
      </w:pPr>
      <w:r>
        <w:rPr>
          <w:b/>
          <w:bCs/>
          <w:sz w:val="72"/>
          <w:szCs w:val="72"/>
        </w:rPr>
        <w:t xml:space="preserve">[3] </w:t>
      </w:r>
      <w:r>
        <w:rPr>
          <w:b/>
          <w:bCs/>
          <w:sz w:val="72"/>
          <w:szCs w:val="72"/>
        </w:rPr>
        <w:t>ISO/IEC 29500-1:2016. Information technology — Document description and processing languages — Office Open XML File Formats — Part 1[S]. Geneva: ISO, 2016.</w:t>
      </w:r>
    </w:p>
    <w:p>
      <w:pPr>
        <w:ind w:left="480" w:hanging="480"/>
      </w:pPr>
      <w:r>
        <w:rPr>
          <w:b/>
          <w:bCs/>
          <w:sz w:val="72"/>
          <w:szCs w:val="72"/>
        </w:rPr>
        <w:t xml:space="preserve">[4] </w:t>
      </w:r>
      <w:r>
        <w:rPr>
          <w:b/>
          <w:bCs/>
          <w:sz w:val="72"/>
          <w:szCs w:val="72"/>
        </w:rPr>
        <w:t>Anthropic. Claude Technical Report[R]. San Francisco: Anthropic, 2024.</w:t>
      </w:r>
    </w:p>
    <w:sectPr w:rsidR="00FC693F" w:rsidRPr="0006063C" w:rsidSect="00034616"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- </w:t>
    </w:r>
    <w:r>
      <w:fldChar w:fldCharType="begin"/>
    </w:r>
    <w:r>
      <w:instrText xml:space="preserve"> PAGE </w:instrText>
    </w:r>
    <w:r>
      <w:fldChar w:fldCharType="end"/>
    </w:r>
    <w: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