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AVIRMATH AI — System Architecture</w:t>
      </w:r>
    </w:p>
    <w:p>
      <w:r>
        <w:rPr>
          <w:b/>
        </w:rPr>
        <w:t>Open-source Ecosystem for the Mathematics behind AI</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5E7EB"/>
          </w:tcPr>
          <w:p>
            <w:pPr>
              <w:spacing w:after="20"/>
            </w:pPr>
            <w:r>
              <w:rPr>
                <w:b/>
                <w:sz w:val="17"/>
              </w:rPr>
            </w:r>
          </w:p>
        </w:tc>
        <w:tc>
          <w:tcPr>
            <w:tcW w:type="dxa" w:w="4873"/>
            <w:shd w:val="clear" w:color="auto" w:fill="E5E7EB"/>
          </w:tcPr>
          <w:p>
            <w:pPr>
              <w:spacing w:after="20"/>
            </w:pPr>
            <w:r>
              <w:rPr>
                <w:b/>
                <w:sz w:val="17"/>
              </w:rPr>
            </w:r>
          </w:p>
        </w:tc>
      </w:tr>
      <w:tr>
        <w:tc>
          <w:tcPr>
            <w:tcW w:type="dxa" w:w="4873"/>
          </w:tcPr>
          <w:p>
            <w:pPr>
              <w:spacing w:after="20"/>
            </w:pPr>
            <w:r>
              <w:rPr>
                <w:sz w:val="17"/>
              </w:rPr>
            </w:r>
            <w:r>
              <w:rPr>
                <w:sz w:val="17"/>
              </w:rPr>
              <w:t>Document</w:t>
            </w:r>
          </w:p>
        </w:tc>
        <w:tc>
          <w:tcPr>
            <w:tcW w:type="dxa" w:w="4873"/>
          </w:tcPr>
          <w:p>
            <w:pPr>
              <w:spacing w:after="20"/>
            </w:pPr>
            <w:r>
              <w:rPr>
                <w:sz w:val="17"/>
              </w:rPr>
            </w:r>
            <w:r>
              <w:rPr>
                <w:sz w:val="17"/>
              </w:rPr>
              <w:t>Architecture reference for publication and for the project folder</w:t>
            </w:r>
          </w:p>
        </w:tc>
      </w:tr>
      <w:tr>
        <w:tc>
          <w:tcPr>
            <w:tcW w:type="dxa" w:w="4873"/>
          </w:tcPr>
          <w:p>
            <w:pPr>
              <w:spacing w:after="20"/>
            </w:pPr>
            <w:r>
              <w:rPr>
                <w:sz w:val="17"/>
              </w:rPr>
            </w:r>
            <w:r>
              <w:rPr>
                <w:sz w:val="17"/>
              </w:rPr>
              <w:t>Author</w:t>
            </w:r>
          </w:p>
        </w:tc>
        <w:tc>
          <w:tcPr>
            <w:tcW w:type="dxa" w:w="4873"/>
          </w:tcPr>
          <w:p>
            <w:pPr>
              <w:spacing w:after="20"/>
            </w:pPr>
            <w:r>
              <w:rPr>
                <w:sz w:val="17"/>
              </w:rPr>
            </w:r>
            <w:r>
              <w:rPr>
                <w:sz w:val="17"/>
              </w:rPr>
              <w:t xml:space="preserve">Gangadevi (founder, </w:t>
            </w:r>
            <w:r>
              <w:rPr>
                <w:rFonts w:ascii="Consolas" w:hAnsi="Consolas"/>
                <w:sz w:val="17"/>
              </w:rPr>
              <w:t>@gangadeviai</w:t>
            </w:r>
            <w:r>
              <w:rPr>
                <w:sz w:val="17"/>
              </w:rPr>
              <w:t>)</w:t>
            </w:r>
          </w:p>
        </w:tc>
      </w:tr>
      <w:tr>
        <w:tc>
          <w:tcPr>
            <w:tcW w:type="dxa" w:w="4873"/>
          </w:tcPr>
          <w:p>
            <w:pPr>
              <w:spacing w:after="20"/>
            </w:pPr>
            <w:r>
              <w:rPr>
                <w:sz w:val="17"/>
              </w:rPr>
            </w:r>
            <w:r>
              <w:rPr>
                <w:sz w:val="17"/>
              </w:rPr>
              <w:t>Prepared with</w:t>
            </w:r>
          </w:p>
        </w:tc>
        <w:tc>
          <w:tcPr>
            <w:tcW w:type="dxa" w:w="4873"/>
          </w:tcPr>
          <w:p>
            <w:pPr>
              <w:spacing w:after="20"/>
            </w:pPr>
            <w:r>
              <w:rPr>
                <w:sz w:val="17"/>
              </w:rPr>
            </w:r>
            <w:r>
              <w:rPr>
                <w:sz w:val="17"/>
              </w:rPr>
              <w:t>A frontier large language model (LLM) agent, under the founder's direction</w:t>
            </w:r>
          </w:p>
        </w:tc>
      </w:tr>
      <w:tr>
        <w:tc>
          <w:tcPr>
            <w:tcW w:type="dxa" w:w="4873"/>
          </w:tcPr>
          <w:p>
            <w:pPr>
              <w:spacing w:after="20"/>
            </w:pPr>
            <w:r>
              <w:rPr>
                <w:sz w:val="17"/>
              </w:rPr>
            </w:r>
            <w:r>
              <w:rPr>
                <w:sz w:val="17"/>
              </w:rPr>
              <w:t>Version</w:t>
            </w:r>
          </w:p>
        </w:tc>
        <w:tc>
          <w:tcPr>
            <w:tcW w:type="dxa" w:w="4873"/>
          </w:tcPr>
          <w:p>
            <w:pPr>
              <w:spacing w:after="20"/>
            </w:pPr>
            <w:r>
              <w:rPr>
                <w:sz w:val="17"/>
              </w:rPr>
            </w:r>
            <w:r>
              <w:rPr>
                <w:sz w:val="17"/>
              </w:rPr>
              <w:t>1.0, 6 October 2026</w:t>
            </w:r>
          </w:p>
        </w:tc>
      </w:tr>
      <w:tr>
        <w:tc>
          <w:tcPr>
            <w:tcW w:type="dxa" w:w="4873"/>
          </w:tcPr>
          <w:p>
            <w:pPr>
              <w:spacing w:after="20"/>
            </w:pPr>
            <w:r>
              <w:rPr>
                <w:sz w:val="17"/>
              </w:rPr>
            </w:r>
            <w:r>
              <w:rPr>
                <w:sz w:val="17"/>
              </w:rPr>
              <w:t>Figures</w:t>
            </w:r>
          </w:p>
        </w:tc>
        <w:tc>
          <w:tcPr>
            <w:tcW w:type="dxa" w:w="4873"/>
          </w:tcPr>
          <w:p>
            <w:pPr>
              <w:spacing w:after="20"/>
            </w:pPr>
            <w:r>
              <w:rPr>
                <w:sz w:val="17"/>
              </w:rPr>
            </w:r>
            <w:r>
              <w:rPr>
                <w:rFonts w:ascii="Consolas" w:hAnsi="Consolas"/>
                <w:sz w:val="17"/>
              </w:rPr>
              <w:t>docs/figures/fig1_system_architecture.{pdf,svg,png}</w:t>
            </w:r>
            <w:r>
              <w:rPr>
                <w:sz w:val="17"/>
              </w:rPr>
              <w:t xml:space="preserve">, </w:t>
            </w:r>
            <w:r>
              <w:rPr>
                <w:rFonts w:ascii="Consolas" w:hAnsi="Consolas"/>
                <w:sz w:val="17"/>
              </w:rPr>
              <w:t>fig3_single_source_of_truth.*</w:t>
            </w:r>
            <w:r>
              <w:rPr>
                <w:sz w:val="17"/>
              </w:rPr>
              <w:t xml:space="preserve">, </w:t>
            </w:r>
            <w:r>
              <w:rPr>
                <w:rFonts w:ascii="Consolas" w:hAnsi="Consolas"/>
                <w:sz w:val="17"/>
              </w:rPr>
              <w:t>architecture_ieee.*</w:t>
            </w:r>
            <w:r>
              <w:rPr>
                <w:sz w:val="17"/>
              </w:rPr>
              <w:t xml:space="preserve"> (vector PDF/SVG for the manuscript, 300-dpi PNG for Word and the web)</w:t>
            </w:r>
          </w:p>
        </w:tc>
      </w:tr>
    </w:tbl>
    <w:p/>
    <w:p>
      <w:pPr>
        <w:pStyle w:val="Heading1"/>
      </w:pPr>
      <w:r>
        <w:t>1. Purpose and scope</w:t>
      </w:r>
    </w:p>
    <w:p>
      <w:r>
        <w:t>AVIRMATH AI turns one mathematical concept behind artificial intelligence into a complete, consistent lesson: a story-led narrated video, a web lesson page with typeset derivations and an assessment, and an interactive experiment. All three are generated from a single lesson representation and a single, independently tested mathematics module, so they cannot contradict each other.</w:t>
      </w:r>
    </w:p>
    <w:p>
      <w:r>
        <w:t>This document records the architecture as it stands after the Foundations phase (six lessons published). It lists every model, tool and library used, the multi-agent organisation, the orchestration structure that controls the agents, and, honestly, which parts are implemented today and which are the target design for the paid on-demand feature.</w:t>
      </w:r>
    </w:p>
    <w:p>
      <w:r>
        <w:rPr>
          <w:b/>
        </w:rPr>
        <w:t>Design principle.</w:t>
      </w:r>
      <w:r>
        <w:t xml:space="preserve"> </w:t>
      </w:r>
      <w:r>
        <w:rPr>
          <w:i/>
        </w:rPr>
        <w:t>Agents propose; deterministic gates decide.</w:t>
      </w:r>
      <w:r>
        <w:t xml:space="preserve"> Language-model agents write mathematics, stories, lessons and animations, but nothing advances unless an independent, non-LLM check passes: unit tests, a schema validator, a facts dictionary, a source check, or a frame-level review.</w:t>
      </w:r>
    </w:p>
    <w:p>
      <w:pPr>
        <w:pStyle w:val="Heading1"/>
      </w:pPr>
      <w:r>
        <w:t>2. System overview</w:t>
      </w:r>
    </w:p>
    <w:p>
      <w:pPr>
        <w:jc w:val="center"/>
      </w:pPr>
      <w:r>
        <w:drawing>
          <wp:inline xmlns:a="http://schemas.openxmlformats.org/drawingml/2006/main" xmlns:pic="http://schemas.openxmlformats.org/drawingml/2006/picture">
            <wp:extent cx="5940000" cy="5644858"/>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940000" cy="5644858"/>
                    </a:xfrm>
                    <a:prstGeom prst="rect"/>
                  </pic:spPr>
                </pic:pic>
              </a:graphicData>
            </a:graphic>
          </wp:inline>
        </w:drawing>
      </w:r>
    </w:p>
    <w:p>
      <w:pPr>
        <w:jc w:val="center"/>
      </w:pPr>
      <w:r>
        <w:rPr>
          <w:i/>
          <w:sz w:val="18"/>
        </w:rPr>
        <w:t>Figure 1. Layered system architecture. A: learner interface. B: orchestration and gates. C: eight specialised agent roles. D: deterministic services with no LLM in the loop. E: shared artifact store, the single source of truth. F: published outputs.</w:t>
      </w:r>
    </w:p>
    <w:p>
      <w:r>
        <w:t>The system has six layers: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5E7EB"/>
          </w:tcPr>
          <w:p>
            <w:pPr>
              <w:spacing w:after="20"/>
            </w:pPr>
            <w:r>
              <w:rPr>
                <w:b/>
                <w:sz w:val="17"/>
              </w:rPr>
            </w:r>
            <w:r>
              <w:rPr>
                <w:b/>
                <w:sz w:val="17"/>
              </w:rPr>
              <w:t>Layer</w:t>
            </w:r>
          </w:p>
        </w:tc>
        <w:tc>
          <w:tcPr>
            <w:tcW w:type="dxa" w:w="3249"/>
            <w:shd w:val="clear" w:color="auto" w:fill="E5E7EB"/>
          </w:tcPr>
          <w:p>
            <w:pPr>
              <w:spacing w:after="20"/>
            </w:pPr>
            <w:r>
              <w:rPr>
                <w:b/>
                <w:sz w:val="17"/>
              </w:rPr>
            </w:r>
            <w:r>
              <w:rPr>
                <w:b/>
                <w:sz w:val="17"/>
              </w:rPr>
              <w:t>Contents</w:t>
            </w:r>
          </w:p>
        </w:tc>
        <w:tc>
          <w:tcPr>
            <w:tcW w:type="dxa" w:w="3249"/>
            <w:shd w:val="clear" w:color="auto" w:fill="E5E7EB"/>
          </w:tcPr>
          <w:p>
            <w:pPr>
              <w:spacing w:after="20"/>
            </w:pPr>
            <w:r>
              <w:rPr>
                <w:b/>
                <w:sz w:val="17"/>
              </w:rPr>
            </w:r>
            <w:r>
              <w:rPr>
                <w:b/>
                <w:sz w:val="17"/>
              </w:rPr>
              <w:t>Responsibility</w:t>
            </w:r>
          </w:p>
        </w:tc>
      </w:tr>
      <w:tr>
        <w:tc>
          <w:tcPr>
            <w:tcW w:type="dxa" w:w="3249"/>
          </w:tcPr>
          <w:p>
            <w:pPr>
              <w:spacing w:after="20"/>
            </w:pPr>
            <w:r>
              <w:rPr>
                <w:sz w:val="17"/>
              </w:rPr>
            </w:r>
            <w:r>
              <w:rPr>
                <w:b/>
                <w:sz w:val="17"/>
              </w:rPr>
              <w:t>A  Learner interface</w:t>
            </w:r>
          </w:p>
        </w:tc>
        <w:tc>
          <w:tcPr>
            <w:tcW w:type="dxa" w:w="3249"/>
          </w:tcPr>
          <w:p>
            <w:pPr>
              <w:spacing w:after="20"/>
            </w:pPr>
            <w:r>
              <w:rPr>
                <w:sz w:val="17"/>
              </w:rPr>
            </w:r>
            <w:r>
              <w:rPr>
                <w:sz w:val="17"/>
              </w:rPr>
              <w:t>Web lesson page, interactive experiment, learner profile, on-demand request</w:t>
            </w:r>
          </w:p>
        </w:tc>
        <w:tc>
          <w:tcPr>
            <w:tcW w:type="dxa" w:w="3249"/>
          </w:tcPr>
          <w:p>
            <w:pPr>
              <w:spacing w:after="20"/>
            </w:pPr>
            <w:r>
              <w:rPr>
                <w:sz w:val="17"/>
              </w:rPr>
            </w:r>
            <w:r>
              <w:rPr>
                <w:sz w:val="17"/>
              </w:rPr>
              <w:t>Where a learner consumes a lesson or asks for a new one (paid).</w:t>
            </w:r>
          </w:p>
        </w:tc>
      </w:tr>
      <w:tr>
        <w:tc>
          <w:tcPr>
            <w:tcW w:type="dxa" w:w="3249"/>
          </w:tcPr>
          <w:p>
            <w:pPr>
              <w:spacing w:after="20"/>
            </w:pPr>
            <w:r>
              <w:rPr>
                <w:sz w:val="17"/>
              </w:rPr>
            </w:r>
            <w:r>
              <w:rPr>
                <w:b/>
                <w:sz w:val="17"/>
              </w:rPr>
              <w:t>B  Orchestration</w:t>
            </w:r>
          </w:p>
        </w:tc>
        <w:tc>
          <w:tcPr>
            <w:tcW w:type="dxa" w:w="3249"/>
          </w:tcPr>
          <w:p>
            <w:pPr>
              <w:spacing w:after="20"/>
            </w:pPr>
            <w:r>
              <w:rPr>
                <w:sz w:val="17"/>
              </w:rPr>
            </w:r>
            <w:r>
              <w:rPr>
                <w:sz w:val="17"/>
              </w:rPr>
              <w:t>Orchestrator (“Lesson Director”), verification gates, human approval, budget and queue</w:t>
            </w:r>
          </w:p>
        </w:tc>
        <w:tc>
          <w:tcPr>
            <w:tcW w:type="dxa" w:w="3249"/>
          </w:tcPr>
          <w:p>
            <w:pPr>
              <w:spacing w:after="20"/>
            </w:pPr>
            <w:r>
              <w:rPr>
                <w:sz w:val="17"/>
              </w:rPr>
            </w:r>
            <w:r>
              <w:rPr>
                <w:sz w:val="17"/>
              </w:rPr>
              <w:t>Owns job state, routes work between agents, enforces gates, bounds retries, stops for human sign-off, meters cost.</w:t>
            </w:r>
          </w:p>
        </w:tc>
      </w:tr>
      <w:tr>
        <w:tc>
          <w:tcPr>
            <w:tcW w:type="dxa" w:w="3249"/>
          </w:tcPr>
          <w:p>
            <w:pPr>
              <w:spacing w:after="20"/>
            </w:pPr>
            <w:r>
              <w:rPr>
                <w:sz w:val="17"/>
              </w:rPr>
            </w:r>
            <w:r>
              <w:rPr>
                <w:b/>
                <w:sz w:val="17"/>
              </w:rPr>
              <w:t>C  Specialised agents</w:t>
            </w:r>
          </w:p>
        </w:tc>
        <w:tc>
          <w:tcPr>
            <w:tcW w:type="dxa" w:w="3249"/>
          </w:tcPr>
          <w:p>
            <w:pPr>
              <w:spacing w:after="20"/>
            </w:pPr>
            <w:r>
              <w:rPr>
                <w:sz w:val="17"/>
              </w:rPr>
            </w:r>
            <w:r>
              <w:rPr>
                <w:sz w:val="17"/>
              </w:rPr>
              <w:t>Profiler, Historian, Math Author, Math Verifier, Lesson Writer, Animation Director, Visual Critic, Experiment Builder</w:t>
            </w:r>
          </w:p>
        </w:tc>
        <w:tc>
          <w:tcPr>
            <w:tcW w:type="dxa" w:w="3249"/>
          </w:tcPr>
          <w:p>
            <w:pPr>
              <w:spacing w:after="20"/>
            </w:pPr>
            <w:r>
              <w:rPr>
                <w:sz w:val="17"/>
              </w:rPr>
            </w:r>
            <w:r>
              <w:rPr>
                <w:sz w:val="17"/>
              </w:rPr>
              <w:t>The only components that use a large language model. Each is a role with its own tool set; they exchange files, never chat.</w:t>
            </w:r>
          </w:p>
        </w:tc>
      </w:tr>
      <w:tr>
        <w:tc>
          <w:tcPr>
            <w:tcW w:type="dxa" w:w="3249"/>
          </w:tcPr>
          <w:p>
            <w:pPr>
              <w:spacing w:after="20"/>
            </w:pPr>
            <w:r>
              <w:rPr>
                <w:sz w:val="17"/>
              </w:rPr>
            </w:r>
            <w:r>
              <w:rPr>
                <w:b/>
                <w:sz w:val="17"/>
              </w:rPr>
              <w:t>D  Deterministic services</w:t>
            </w:r>
          </w:p>
        </w:tc>
        <w:tc>
          <w:tcPr>
            <w:tcW w:type="dxa" w:w="3249"/>
          </w:tcPr>
          <w:p>
            <w:pPr>
              <w:spacing w:after="20"/>
            </w:pPr>
            <w:r>
              <w:rPr>
                <w:sz w:val="17"/>
              </w:rPr>
            </w:r>
            <w:r>
              <w:rPr>
                <w:sz w:val="17"/>
              </w:rPr>
              <w:t>Narration, renderer, assembly, SEO/AEO/GEO pack, site generator</w:t>
            </w:r>
          </w:p>
        </w:tc>
        <w:tc>
          <w:tcPr>
            <w:tcW w:type="dxa" w:w="3249"/>
          </w:tcPr>
          <w:p>
            <w:pPr>
              <w:spacing w:after="20"/>
            </w:pPr>
            <w:r>
              <w:rPr>
                <w:sz w:val="17"/>
              </w:rPr>
            </w:r>
            <w:r>
              <w:rPr>
                <w:sz w:val="17"/>
              </w:rPr>
              <w:t>Reproducible transformations of the artifacts; no model is consulted.</w:t>
            </w:r>
          </w:p>
        </w:tc>
      </w:tr>
      <w:tr>
        <w:tc>
          <w:tcPr>
            <w:tcW w:type="dxa" w:w="3249"/>
          </w:tcPr>
          <w:p>
            <w:pPr>
              <w:spacing w:after="20"/>
            </w:pPr>
            <w:r>
              <w:rPr>
                <w:sz w:val="17"/>
              </w:rPr>
            </w:r>
            <w:r>
              <w:rPr>
                <w:b/>
                <w:sz w:val="17"/>
              </w:rPr>
              <w:t>E  Shared artifact store</w:t>
            </w:r>
          </w:p>
        </w:tc>
        <w:tc>
          <w:tcPr>
            <w:tcW w:type="dxa" w:w="3249"/>
          </w:tcPr>
          <w:p>
            <w:pPr>
              <w:spacing w:after="20"/>
            </w:pPr>
            <w:r>
              <w:rPr>
                <w:sz w:val="17"/>
              </w:rPr>
            </w:r>
            <w:r>
              <w:rPr>
                <w:rFonts w:ascii="Consolas" w:hAnsi="Consolas"/>
                <w:sz w:val="17"/>
              </w:rPr>
              <w:t>lesson.yaml</w:t>
            </w:r>
            <w:r>
              <w:rPr>
                <w:sz w:val="17"/>
              </w:rPr>
              <w:t xml:space="preserve">, </w:t>
            </w:r>
            <w:r>
              <w:rPr>
                <w:rFonts w:ascii="Consolas" w:hAnsi="Consolas"/>
                <w:sz w:val="17"/>
              </w:rPr>
              <w:t>mathcore/&lt;concept&gt;.py</w:t>
            </w:r>
            <w:r>
              <w:rPr>
                <w:sz w:val="17"/>
              </w:rPr>
              <w:t xml:space="preserve"> + tests, facts dictionary, timing records, media, project memory</w:t>
            </w:r>
          </w:p>
        </w:tc>
        <w:tc>
          <w:tcPr>
            <w:tcW w:type="dxa" w:w="3249"/>
          </w:tcPr>
          <w:p>
            <w:pPr>
              <w:spacing w:after="20"/>
            </w:pPr>
            <w:r>
              <w:rPr>
                <w:sz w:val="17"/>
              </w:rPr>
            </w:r>
            <w:r>
              <w:rPr>
                <w:sz w:val="17"/>
              </w:rPr>
              <w:t>Single source of truth for every lesson.</w:t>
            </w:r>
          </w:p>
        </w:tc>
      </w:tr>
      <w:tr>
        <w:tc>
          <w:tcPr>
            <w:tcW w:type="dxa" w:w="3249"/>
          </w:tcPr>
          <w:p>
            <w:pPr>
              <w:spacing w:after="20"/>
            </w:pPr>
            <w:r>
              <w:rPr>
                <w:sz w:val="17"/>
              </w:rPr>
            </w:r>
            <w:r>
              <w:rPr>
                <w:b/>
                <w:sz w:val="17"/>
              </w:rPr>
              <w:t>F  Published outputs</w:t>
            </w:r>
          </w:p>
        </w:tc>
        <w:tc>
          <w:tcPr>
            <w:tcW w:type="dxa" w:w="3249"/>
          </w:tcPr>
          <w:p>
            <w:pPr>
              <w:spacing w:after="20"/>
            </w:pPr>
            <w:r>
              <w:rPr>
                <w:sz w:val="17"/>
              </w:rPr>
            </w:r>
            <w:r>
              <w:rPr>
                <w:sz w:val="17"/>
              </w:rPr>
              <w:t>Narrated video, captions and chapters, lesson web page, assessment, SEO/AEO/GEO pack</w:t>
            </w:r>
          </w:p>
        </w:tc>
        <w:tc>
          <w:tcPr>
            <w:tcW w:type="dxa" w:w="3249"/>
          </w:tcPr>
          <w:p>
            <w:pPr>
              <w:spacing w:after="20"/>
            </w:pPr>
            <w:r>
              <w:rPr>
                <w:sz w:val="17"/>
              </w:rPr>
            </w:r>
            <w:r>
              <w:rPr>
                <w:sz w:val="17"/>
              </w:rPr>
              <w:t>What learners and search engines receive.</w:t>
            </w:r>
          </w:p>
        </w:tc>
      </w:tr>
    </w:tbl>
    <w:p/>
    <w:p>
      <w:pPr>
        <w:pStyle w:val="Heading1"/>
      </w:pPr>
      <w:r>
        <w:t>3. Models used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5E7EB"/>
          </w:tcPr>
          <w:p>
            <w:pPr>
              <w:spacing w:after="20"/>
            </w:pPr>
            <w:r>
              <w:rPr>
                <w:b/>
                <w:sz w:val="17"/>
              </w:rPr>
            </w:r>
            <w:r>
              <w:rPr>
                <w:b/>
                <w:sz w:val="17"/>
              </w:rPr>
              <w:t>Model</w:t>
            </w:r>
          </w:p>
        </w:tc>
        <w:tc>
          <w:tcPr>
            <w:tcW w:type="dxa" w:w="2436"/>
            <w:shd w:val="clear" w:color="auto" w:fill="E5E7EB"/>
          </w:tcPr>
          <w:p>
            <w:pPr>
              <w:spacing w:after="20"/>
            </w:pPr>
            <w:r>
              <w:rPr>
                <w:b/>
                <w:sz w:val="17"/>
              </w:rPr>
            </w:r>
            <w:r>
              <w:rPr>
                <w:b/>
                <w:sz w:val="17"/>
              </w:rPr>
              <w:t>Provider / runtime</w:t>
            </w:r>
          </w:p>
        </w:tc>
        <w:tc>
          <w:tcPr>
            <w:tcW w:type="dxa" w:w="2436"/>
            <w:shd w:val="clear" w:color="auto" w:fill="E5E7EB"/>
          </w:tcPr>
          <w:p>
            <w:pPr>
              <w:spacing w:after="20"/>
            </w:pPr>
            <w:r>
              <w:rPr>
                <w:b/>
                <w:sz w:val="17"/>
              </w:rPr>
            </w:r>
            <w:r>
              <w:rPr>
                <w:b/>
                <w:sz w:val="17"/>
              </w:rPr>
              <w:t>Where it is used</w:t>
            </w:r>
          </w:p>
        </w:tc>
        <w:tc>
          <w:tcPr>
            <w:tcW w:type="dxa" w:w="2436"/>
            <w:shd w:val="clear" w:color="auto" w:fill="E5E7EB"/>
          </w:tcPr>
          <w:p>
            <w:pPr>
              <w:spacing w:after="20"/>
            </w:pPr>
            <w:r>
              <w:rPr>
                <w:b/>
                <w:sz w:val="17"/>
              </w:rPr>
            </w:r>
            <w:r>
              <w:rPr>
                <w:b/>
                <w:sz w:val="17"/>
              </w:rPr>
              <w:t>Notes</w:t>
            </w:r>
          </w:p>
        </w:tc>
      </w:tr>
      <w:tr>
        <w:tc>
          <w:tcPr>
            <w:tcW w:type="dxa" w:w="2436"/>
          </w:tcPr>
          <w:p>
            <w:pPr>
              <w:spacing w:after="20"/>
            </w:pPr>
            <w:r>
              <w:rPr>
                <w:sz w:val="17"/>
              </w:rPr>
            </w:r>
            <w:r>
              <w:rPr>
                <w:b/>
                <w:sz w:val="17"/>
              </w:rPr>
              <w:t>Frontier large language model (LLM)</w:t>
            </w:r>
          </w:p>
        </w:tc>
        <w:tc>
          <w:tcPr>
            <w:tcW w:type="dxa" w:w="2436"/>
          </w:tcPr>
          <w:p>
            <w:pPr>
              <w:spacing w:after="20"/>
            </w:pPr>
            <w:r>
              <w:rPr>
                <w:sz w:val="17"/>
              </w:rPr>
            </w:r>
            <w:r>
              <w:rPr>
                <w:sz w:val="17"/>
              </w:rPr>
              <w:t>Commercial model, accessed through an agentic coding runtime (file tools, shell, browser)</w:t>
            </w:r>
          </w:p>
        </w:tc>
        <w:tc>
          <w:tcPr>
            <w:tcW w:type="dxa" w:w="2436"/>
          </w:tcPr>
          <w:p>
            <w:pPr>
              <w:spacing w:after="20"/>
            </w:pPr>
            <w:r>
              <w:rPr>
                <w:sz w:val="17"/>
              </w:rPr>
            </w:r>
            <w:r>
              <w:rPr>
                <w:sz w:val="17"/>
              </w:rPr>
              <w:t>Every agent role in layer C (Profiler, Historian, Math Author, Math Verifier, Lesson Writer, Animation Director, Visual Critic, Experiment Builder) and the orchestration decisions</w:t>
            </w:r>
          </w:p>
        </w:tc>
        <w:tc>
          <w:tcPr>
            <w:tcW w:type="dxa" w:w="2436"/>
          </w:tcPr>
          <w:p>
            <w:pPr>
              <w:spacing w:after="20"/>
            </w:pPr>
            <w:r>
              <w:rPr>
                <w:sz w:val="17"/>
              </w:rPr>
            </w:r>
            <w:r>
              <w:rPr>
                <w:sz w:val="17"/>
              </w:rPr>
              <w:t>One model, eight roles. Roles are separated by prompt, tool access and the artifact they own, not by different models. The Visual Critic uses the model's image input to inspect rendered frames.</w:t>
            </w:r>
          </w:p>
        </w:tc>
      </w:tr>
      <w:tr>
        <w:tc>
          <w:tcPr>
            <w:tcW w:type="dxa" w:w="2436"/>
          </w:tcPr>
          <w:p>
            <w:pPr>
              <w:spacing w:after="20"/>
            </w:pPr>
            <w:r>
              <w:rPr>
                <w:sz w:val="17"/>
              </w:rPr>
            </w:r>
            <w:r>
              <w:rPr>
                <w:b/>
                <w:sz w:val="17"/>
              </w:rPr>
              <w:t>en-GB-SoniaNeural</w:t>
            </w:r>
          </w:p>
        </w:tc>
        <w:tc>
          <w:tcPr>
            <w:tcW w:type="dxa" w:w="2436"/>
          </w:tcPr>
          <w:p>
            <w:pPr>
              <w:spacing w:after="20"/>
            </w:pPr>
            <w:r>
              <w:rPr>
                <w:sz w:val="17"/>
              </w:rPr>
            </w:r>
            <w:r>
              <w:rPr>
                <w:sz w:val="17"/>
              </w:rPr>
              <w:t xml:space="preserve">Microsoft neural text-to-speech, accessed through </w:t>
            </w:r>
            <w:r>
              <w:rPr>
                <w:rFonts w:ascii="Consolas" w:hAnsi="Consolas"/>
                <w:sz w:val="17"/>
              </w:rPr>
              <w:t>edge-tts</w:t>
            </w:r>
          </w:p>
        </w:tc>
        <w:tc>
          <w:tcPr>
            <w:tcW w:type="dxa" w:w="2436"/>
          </w:tcPr>
          <w:p>
            <w:pPr>
              <w:spacing w:after="20"/>
            </w:pPr>
            <w:r>
              <w:rPr>
                <w:sz w:val="17"/>
              </w:rPr>
            </w:r>
            <w:r>
              <w:rPr>
                <w:sz w:val="17"/>
              </w:rPr>
              <w:t>Narration service (layer D)</w:t>
            </w:r>
          </w:p>
        </w:tc>
        <w:tc>
          <w:tcPr>
            <w:tcW w:type="dxa" w:w="2436"/>
          </w:tcPr>
          <w:p>
            <w:pPr>
              <w:spacing w:after="20"/>
            </w:pPr>
            <w:r>
              <w:rPr>
                <w:sz w:val="17"/>
              </w:rPr>
            </w:r>
            <w:r>
              <w:rPr>
                <w:sz w:val="17"/>
              </w:rPr>
              <w:t>Female British English voice chosen by the founder; speaking rate +10 to +12 %.</w:t>
            </w:r>
          </w:p>
        </w:tc>
      </w:tr>
      <w:tr>
        <w:tc>
          <w:tcPr>
            <w:tcW w:type="dxa" w:w="2436"/>
          </w:tcPr>
          <w:p>
            <w:pPr>
              <w:spacing w:after="20"/>
            </w:pPr>
            <w:r>
              <w:rPr>
                <w:sz w:val="17"/>
              </w:rPr>
            </w:r>
            <w:r>
              <w:rPr>
                <w:b/>
                <w:sz w:val="17"/>
              </w:rPr>
              <w:t>Mathematical models in `mathcore`</w:t>
            </w:r>
          </w:p>
        </w:tc>
        <w:tc>
          <w:tcPr>
            <w:tcW w:type="dxa" w:w="2436"/>
          </w:tcPr>
          <w:p>
            <w:pPr>
              <w:spacing w:after="20"/>
            </w:pPr>
            <w:r>
              <w:rPr>
                <w:sz w:val="17"/>
              </w:rPr>
            </w:r>
            <w:r>
              <w:rPr>
                <w:sz w:val="17"/>
              </w:rPr>
              <w:t>Deterministic Python (NumPy, SymPy)</w:t>
            </w:r>
          </w:p>
        </w:tc>
        <w:tc>
          <w:tcPr>
            <w:tcW w:type="dxa" w:w="2436"/>
          </w:tcPr>
          <w:p>
            <w:pPr>
              <w:spacing w:after="20"/>
            </w:pPr>
            <w:r>
              <w:rPr>
                <w:sz w:val="17"/>
              </w:rPr>
            </w:r>
            <w:r>
              <w:rPr>
                <w:sz w:val="17"/>
              </w:rPr>
              <w:t>Every number spoken, typeset or simulated</w:t>
            </w:r>
          </w:p>
        </w:tc>
        <w:tc>
          <w:tcPr>
            <w:tcW w:type="dxa" w:w="2436"/>
          </w:tcPr>
          <w:p>
            <w:pPr>
              <w:spacing w:after="20"/>
            </w:pPr>
            <w:r>
              <w:rPr>
                <w:sz w:val="17"/>
              </w:rPr>
            </w:r>
            <w:r>
              <w:rPr>
                <w:sz w:val="17"/>
              </w:rPr>
              <w:t>Not learned models. Each lesson ships its own small model, for example the gradient-descent landscape f(x, y) = x² + 3y², a two-layer network for backpropagation, a 20-dimensional ratings matrix for the matrices lesson, synthetic credit data for logistic regression.</w:t>
            </w:r>
          </w:p>
        </w:tc>
      </w:tr>
    </w:tbl>
    <w:p/>
    <w:p>
      <w:r>
        <w:t>No image-generation, video-generation or voice-cloning models are used. Every frame is rendered programmatically from code, which is what makes frame-level verification possible.</w:t>
      </w:r>
    </w:p>
    <w:p>
      <w:pPr>
        <w:pStyle w:val="Heading1"/>
      </w:pPr>
      <w:r>
        <w:t>4. Tools and libraries</w:t>
      </w:r>
    </w:p>
    <w:p>
      <w:pPr>
        <w:pStyle w:val="Heading2"/>
      </w:pPr>
      <w:r>
        <w:t>4.1 Runtime and mathematics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5E7EB"/>
          </w:tcPr>
          <w:p>
            <w:pPr>
              <w:spacing w:after="20"/>
            </w:pPr>
            <w:r>
              <w:rPr>
                <w:b/>
                <w:sz w:val="17"/>
              </w:rPr>
            </w:r>
            <w:r>
              <w:rPr>
                <w:b/>
                <w:sz w:val="17"/>
              </w:rPr>
              <w:t>Tool</w:t>
            </w:r>
          </w:p>
        </w:tc>
        <w:tc>
          <w:tcPr>
            <w:tcW w:type="dxa" w:w="3249"/>
            <w:shd w:val="clear" w:color="auto" w:fill="E5E7EB"/>
          </w:tcPr>
          <w:p>
            <w:pPr>
              <w:spacing w:after="20"/>
            </w:pPr>
            <w:r>
              <w:rPr>
                <w:b/>
                <w:sz w:val="17"/>
              </w:rPr>
            </w:r>
            <w:r>
              <w:rPr>
                <w:b/>
                <w:sz w:val="17"/>
              </w:rPr>
              <w:t>Version</w:t>
            </w:r>
          </w:p>
        </w:tc>
        <w:tc>
          <w:tcPr>
            <w:tcW w:type="dxa" w:w="3249"/>
            <w:shd w:val="clear" w:color="auto" w:fill="E5E7EB"/>
          </w:tcPr>
          <w:p>
            <w:pPr>
              <w:spacing w:after="20"/>
            </w:pPr>
            <w:r>
              <w:rPr>
                <w:b/>
                <w:sz w:val="17"/>
              </w:rPr>
            </w:r>
            <w:r>
              <w:rPr>
                <w:b/>
                <w:sz w:val="17"/>
              </w:rPr>
              <w:t>Role</w:t>
            </w:r>
          </w:p>
        </w:tc>
      </w:tr>
      <w:tr>
        <w:tc>
          <w:tcPr>
            <w:tcW w:type="dxa" w:w="3249"/>
          </w:tcPr>
          <w:p>
            <w:pPr>
              <w:spacing w:after="20"/>
            </w:pPr>
            <w:r>
              <w:rPr>
                <w:sz w:val="17"/>
              </w:rPr>
            </w:r>
            <w:r>
              <w:rPr>
                <w:sz w:val="17"/>
              </w:rPr>
              <w:t>Python</w:t>
            </w:r>
          </w:p>
        </w:tc>
        <w:tc>
          <w:tcPr>
            <w:tcW w:type="dxa" w:w="3249"/>
          </w:tcPr>
          <w:p>
            <w:pPr>
              <w:spacing w:after="20"/>
            </w:pPr>
            <w:r>
              <w:rPr>
                <w:sz w:val="17"/>
              </w:rPr>
            </w:r>
            <w:r>
              <w:rPr>
                <w:sz w:val="17"/>
              </w:rPr>
              <w:t xml:space="preserve">3.13.15 (virtual environment managed by </w:t>
            </w:r>
            <w:r>
              <w:rPr>
                <w:rFonts w:ascii="Consolas" w:hAnsi="Consolas"/>
                <w:sz w:val="17"/>
              </w:rPr>
              <w:t>uv</w:t>
            </w:r>
            <w:r>
              <w:rPr>
                <w:sz w:val="17"/>
              </w:rPr>
              <w:t>)</w:t>
            </w:r>
          </w:p>
        </w:tc>
        <w:tc>
          <w:tcPr>
            <w:tcW w:type="dxa" w:w="3249"/>
          </w:tcPr>
          <w:p>
            <w:pPr>
              <w:spacing w:after="20"/>
            </w:pPr>
            <w:r>
              <w:rPr>
                <w:sz w:val="17"/>
              </w:rPr>
            </w:r>
            <w:r>
              <w:rPr>
                <w:sz w:val="17"/>
              </w:rPr>
              <w:t>Runtime for mathcore, lesson loader, pipeline and renderer. System Python 3.14 is not used because Manim has no wheels for it.</w:t>
            </w:r>
          </w:p>
        </w:tc>
      </w:tr>
      <w:tr>
        <w:tc>
          <w:tcPr>
            <w:tcW w:type="dxa" w:w="3249"/>
          </w:tcPr>
          <w:p>
            <w:pPr>
              <w:spacing w:after="20"/>
            </w:pPr>
            <w:r>
              <w:rPr>
                <w:sz w:val="17"/>
              </w:rPr>
            </w:r>
            <w:r>
              <w:rPr>
                <w:sz w:val="17"/>
              </w:rPr>
              <w:t>NumPy</w:t>
            </w:r>
          </w:p>
        </w:tc>
        <w:tc>
          <w:tcPr>
            <w:tcW w:type="dxa" w:w="3249"/>
          </w:tcPr>
          <w:p>
            <w:pPr>
              <w:spacing w:after="20"/>
            </w:pPr>
            <w:r>
              <w:rPr>
                <w:sz w:val="17"/>
              </w:rPr>
            </w:r>
            <w:r>
              <w:rPr>
                <w:sz w:val="17"/>
              </w:rPr>
              <w:t>2.5.3</w:t>
            </w:r>
          </w:p>
        </w:tc>
        <w:tc>
          <w:tcPr>
            <w:tcW w:type="dxa" w:w="3249"/>
          </w:tcPr>
          <w:p>
            <w:pPr>
              <w:spacing w:after="20"/>
            </w:pPr>
            <w:r>
              <w:rPr>
                <w:sz w:val="17"/>
              </w:rPr>
            </w:r>
            <w:r>
              <w:rPr>
                <w:sz w:val="17"/>
              </w:rPr>
              <w:t>Numerical core of every mathematics module.</w:t>
            </w:r>
          </w:p>
        </w:tc>
      </w:tr>
      <w:tr>
        <w:tc>
          <w:tcPr>
            <w:tcW w:type="dxa" w:w="3249"/>
          </w:tcPr>
          <w:p>
            <w:pPr>
              <w:spacing w:after="20"/>
            </w:pPr>
            <w:r>
              <w:rPr>
                <w:sz w:val="17"/>
              </w:rPr>
            </w:r>
            <w:r>
              <w:rPr>
                <w:sz w:val="17"/>
              </w:rPr>
              <w:t>SymPy</w:t>
            </w:r>
          </w:p>
        </w:tc>
        <w:tc>
          <w:tcPr>
            <w:tcW w:type="dxa" w:w="3249"/>
          </w:tcPr>
          <w:p>
            <w:pPr>
              <w:spacing w:after="20"/>
            </w:pPr>
            <w:r>
              <w:rPr>
                <w:sz w:val="17"/>
              </w:rPr>
            </w:r>
            <w:r>
              <w:rPr>
                <w:sz w:val="17"/>
              </w:rPr>
              <w:t>1.14.0</w:t>
            </w:r>
          </w:p>
        </w:tc>
        <w:tc>
          <w:tcPr>
            <w:tcW w:type="dxa" w:w="3249"/>
          </w:tcPr>
          <w:p>
            <w:pPr>
              <w:spacing w:after="20"/>
            </w:pPr>
            <w:r>
              <w:rPr>
                <w:sz w:val="17"/>
              </w:rPr>
            </w:r>
            <w:r>
              <w:rPr>
                <w:sz w:val="17"/>
              </w:rPr>
              <w:t>Symbolic derivatives used by the Math Verifier to check hand-written gradients.</w:t>
            </w:r>
          </w:p>
        </w:tc>
      </w:tr>
      <w:tr>
        <w:tc>
          <w:tcPr>
            <w:tcW w:type="dxa" w:w="3249"/>
          </w:tcPr>
          <w:p>
            <w:pPr>
              <w:spacing w:after="20"/>
            </w:pPr>
            <w:r>
              <w:rPr>
                <w:sz w:val="17"/>
              </w:rPr>
            </w:r>
            <w:r>
              <w:rPr>
                <w:sz w:val="17"/>
              </w:rPr>
              <w:t>pytest</w:t>
            </w:r>
          </w:p>
        </w:tc>
        <w:tc>
          <w:tcPr>
            <w:tcW w:type="dxa" w:w="3249"/>
          </w:tcPr>
          <w:p>
            <w:pPr>
              <w:spacing w:after="20"/>
            </w:pPr>
            <w:r>
              <w:rPr>
                <w:sz w:val="17"/>
              </w:rPr>
            </w:r>
            <w:r>
              <w:rPr>
                <w:sz w:val="17"/>
              </w:rPr>
              <w:t>current</w:t>
            </w:r>
          </w:p>
        </w:tc>
        <w:tc>
          <w:tcPr>
            <w:tcW w:type="dxa" w:w="3249"/>
          </w:tcPr>
          <w:p>
            <w:pPr>
              <w:spacing w:after="20"/>
            </w:pPr>
            <w:r>
              <w:rPr>
                <w:sz w:val="17"/>
              </w:rPr>
            </w:r>
            <w:r>
              <w:rPr>
                <w:sz w:val="17"/>
              </w:rPr>
              <w:t>125 tests across seven test modules; the hard gate before any number may be quoted.</w:t>
            </w:r>
          </w:p>
        </w:tc>
      </w:tr>
      <w:tr>
        <w:tc>
          <w:tcPr>
            <w:tcW w:type="dxa" w:w="3249"/>
          </w:tcPr>
          <w:p>
            <w:pPr>
              <w:spacing w:after="20"/>
            </w:pPr>
            <w:r>
              <w:rPr>
                <w:sz w:val="17"/>
              </w:rPr>
            </w:r>
            <w:r>
              <w:rPr>
                <w:sz w:val="17"/>
              </w:rPr>
              <w:t>PyYAML</w:t>
            </w:r>
          </w:p>
        </w:tc>
        <w:tc>
          <w:tcPr>
            <w:tcW w:type="dxa" w:w="3249"/>
          </w:tcPr>
          <w:p>
            <w:pPr>
              <w:spacing w:after="20"/>
            </w:pPr>
            <w:r>
              <w:rPr>
                <w:sz w:val="17"/>
              </w:rPr>
            </w:r>
            <w:r>
              <w:rPr>
                <w:sz w:val="17"/>
              </w:rPr>
              <w:t>6.0.3</w:t>
            </w:r>
          </w:p>
        </w:tc>
        <w:tc>
          <w:tcPr>
            <w:tcW w:type="dxa" w:w="3249"/>
          </w:tcPr>
          <w:p>
            <w:pPr>
              <w:spacing w:after="20"/>
            </w:pPr>
            <w:r>
              <w:rPr>
                <w:sz w:val="17"/>
              </w:rPr>
            </w:r>
            <w:r>
              <w:rPr>
                <w:sz w:val="17"/>
              </w:rPr>
              <w:t>Lesson files (</w:t>
            </w:r>
            <w:r>
              <w:rPr>
                <w:rFonts w:ascii="Consolas" w:hAnsi="Consolas"/>
                <w:sz w:val="17"/>
              </w:rPr>
              <w:t>lesson.yaml</w:t>
            </w:r>
            <w:r>
              <w:rPr>
                <w:sz w:val="17"/>
              </w:rPr>
              <w:t>).</w:t>
            </w:r>
          </w:p>
        </w:tc>
      </w:tr>
      <w:tr>
        <w:tc>
          <w:tcPr>
            <w:tcW w:type="dxa" w:w="3249"/>
          </w:tcPr>
          <w:p>
            <w:pPr>
              <w:spacing w:after="20"/>
            </w:pPr>
            <w:r>
              <w:rPr>
                <w:sz w:val="17"/>
              </w:rPr>
            </w:r>
            <w:r>
              <w:rPr>
                <w:sz w:val="17"/>
              </w:rPr>
              <w:t>jsonschema</w:t>
            </w:r>
          </w:p>
        </w:tc>
        <w:tc>
          <w:tcPr>
            <w:tcW w:type="dxa" w:w="3249"/>
          </w:tcPr>
          <w:p>
            <w:pPr>
              <w:spacing w:after="20"/>
            </w:pPr>
            <w:r>
              <w:rPr>
                <w:sz w:val="17"/>
              </w:rPr>
            </w:r>
            <w:r>
              <w:rPr>
                <w:sz w:val="17"/>
              </w:rPr>
              <w:t>4.26.0</w:t>
            </w:r>
          </w:p>
        </w:tc>
        <w:tc>
          <w:tcPr>
            <w:tcW w:type="dxa" w:w="3249"/>
          </w:tcPr>
          <w:p>
            <w:pPr>
              <w:spacing w:after="20"/>
            </w:pPr>
            <w:r>
              <w:rPr>
                <w:sz w:val="17"/>
              </w:rPr>
            </w:r>
            <w:r>
              <w:rPr>
                <w:sz w:val="17"/>
              </w:rPr>
              <w:t xml:space="preserve">Validates every lesson against </w:t>
            </w:r>
            <w:r>
              <w:rPr>
                <w:rFonts w:ascii="Consolas" w:hAnsi="Consolas"/>
                <w:sz w:val="17"/>
              </w:rPr>
              <w:t>src/avirmath/lesson/schema.json</w:t>
            </w:r>
            <w:r>
              <w:rPr>
                <w:sz w:val="17"/>
              </w:rPr>
              <w:t>.</w:t>
            </w:r>
          </w:p>
        </w:tc>
      </w:tr>
    </w:tbl>
    <w:p/>
    <w:p>
      <w:pPr>
        <w:pStyle w:val="Heading2"/>
      </w:pPr>
      <w:r>
        <w:t>4.2 Video production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5E7EB"/>
          </w:tcPr>
          <w:p>
            <w:pPr>
              <w:spacing w:after="20"/>
            </w:pPr>
            <w:r>
              <w:rPr>
                <w:b/>
                <w:sz w:val="17"/>
              </w:rPr>
            </w:r>
            <w:r>
              <w:rPr>
                <w:b/>
                <w:sz w:val="17"/>
              </w:rPr>
              <w:t>Tool</w:t>
            </w:r>
          </w:p>
        </w:tc>
        <w:tc>
          <w:tcPr>
            <w:tcW w:type="dxa" w:w="3249"/>
            <w:shd w:val="clear" w:color="auto" w:fill="E5E7EB"/>
          </w:tcPr>
          <w:p>
            <w:pPr>
              <w:spacing w:after="20"/>
            </w:pPr>
            <w:r>
              <w:rPr>
                <w:b/>
                <w:sz w:val="17"/>
              </w:rPr>
            </w:r>
            <w:r>
              <w:rPr>
                <w:b/>
                <w:sz w:val="17"/>
              </w:rPr>
              <w:t>Version</w:t>
            </w:r>
          </w:p>
        </w:tc>
        <w:tc>
          <w:tcPr>
            <w:tcW w:type="dxa" w:w="3249"/>
            <w:shd w:val="clear" w:color="auto" w:fill="E5E7EB"/>
          </w:tcPr>
          <w:p>
            <w:pPr>
              <w:spacing w:after="20"/>
            </w:pPr>
            <w:r>
              <w:rPr>
                <w:b/>
                <w:sz w:val="17"/>
              </w:rPr>
            </w:r>
            <w:r>
              <w:rPr>
                <w:b/>
                <w:sz w:val="17"/>
              </w:rPr>
              <w:t>Role</w:t>
            </w:r>
          </w:p>
        </w:tc>
      </w:tr>
      <w:tr>
        <w:tc>
          <w:tcPr>
            <w:tcW w:type="dxa" w:w="3249"/>
          </w:tcPr>
          <w:p>
            <w:pPr>
              <w:spacing w:after="20"/>
            </w:pPr>
            <w:r>
              <w:rPr>
                <w:sz w:val="17"/>
              </w:rPr>
            </w:r>
            <w:r>
              <w:rPr>
                <w:sz w:val="17"/>
              </w:rPr>
              <w:t>Manim Community Edition</w:t>
            </w:r>
          </w:p>
        </w:tc>
        <w:tc>
          <w:tcPr>
            <w:tcW w:type="dxa" w:w="3249"/>
          </w:tcPr>
          <w:p>
            <w:pPr>
              <w:spacing w:after="20"/>
            </w:pPr>
            <w:r>
              <w:rPr>
                <w:sz w:val="17"/>
              </w:rPr>
            </w:r>
            <w:r>
              <w:rPr>
                <w:sz w:val="17"/>
              </w:rPr>
              <w:t>0.21.0</w:t>
            </w:r>
          </w:p>
        </w:tc>
        <w:tc>
          <w:tcPr>
            <w:tcW w:type="dxa" w:w="3249"/>
          </w:tcPr>
          <w:p>
            <w:pPr>
              <w:spacing w:after="20"/>
            </w:pPr>
            <w:r>
              <w:rPr>
                <w:sz w:val="17"/>
              </w:rPr>
            </w:r>
            <w:r>
              <w:rPr>
                <w:sz w:val="17"/>
              </w:rPr>
              <w:t>2D and true 3D animation (</w:t>
            </w:r>
            <w:r>
              <w:rPr>
                <w:rFonts w:ascii="Consolas" w:hAnsi="Consolas"/>
                <w:sz w:val="17"/>
              </w:rPr>
              <w:t>ThreeDScene</w:t>
            </w:r>
            <w:r>
              <w:rPr>
                <w:sz w:val="17"/>
              </w:rPr>
              <w:t xml:space="preserve"> surfaces for gradient landscapes, loss surfaces, transformations).</w:t>
            </w:r>
          </w:p>
        </w:tc>
      </w:tr>
      <w:tr>
        <w:tc>
          <w:tcPr>
            <w:tcW w:type="dxa" w:w="3249"/>
          </w:tcPr>
          <w:p>
            <w:pPr>
              <w:spacing w:after="20"/>
            </w:pPr>
            <w:r>
              <w:rPr>
                <w:sz w:val="17"/>
              </w:rPr>
            </w:r>
            <w:r>
              <w:rPr>
                <w:sz w:val="17"/>
              </w:rPr>
              <w:t>MiKTeX (LaTeX, dvisvgm)</w:t>
            </w:r>
          </w:p>
        </w:tc>
        <w:tc>
          <w:tcPr>
            <w:tcW w:type="dxa" w:w="3249"/>
          </w:tcPr>
          <w:p>
            <w:pPr>
              <w:spacing w:after="20"/>
            </w:pPr>
            <w:r>
              <w:rPr>
                <w:sz w:val="17"/>
              </w:rPr>
            </w:r>
            <w:r>
              <w:rPr>
                <w:sz w:val="17"/>
              </w:rPr>
              <w:t>25.12</w:t>
            </w:r>
          </w:p>
        </w:tc>
        <w:tc>
          <w:tcPr>
            <w:tcW w:type="dxa" w:w="3249"/>
          </w:tcPr>
          <w:p>
            <w:pPr>
              <w:spacing w:after="20"/>
            </w:pPr>
            <w:r>
              <w:rPr>
                <w:sz w:val="17"/>
              </w:rPr>
            </w:r>
            <w:r>
              <w:rPr>
                <w:sz w:val="17"/>
              </w:rPr>
              <w:t xml:space="preserve">Typesets every equation in the video. Must be invoked from the venv's own interpreter; running Manim through </w:t>
            </w:r>
            <w:r>
              <w:rPr>
                <w:rFonts w:ascii="Consolas" w:hAnsi="Consolas"/>
                <w:sz w:val="17"/>
              </w:rPr>
              <w:t>uv run</w:t>
            </w:r>
            <w:r>
              <w:rPr>
                <w:sz w:val="17"/>
              </w:rPr>
              <w:t xml:space="preserve"> breaks dvisvgm on Windows.</w:t>
            </w:r>
          </w:p>
        </w:tc>
      </w:tr>
      <w:tr>
        <w:tc>
          <w:tcPr>
            <w:tcW w:type="dxa" w:w="3249"/>
          </w:tcPr>
          <w:p>
            <w:pPr>
              <w:spacing w:after="20"/>
            </w:pPr>
            <w:r>
              <w:rPr>
                <w:sz w:val="17"/>
              </w:rPr>
            </w:r>
            <w:r>
              <w:rPr>
                <w:sz w:val="17"/>
              </w:rPr>
              <w:t>edge-tts</w:t>
            </w:r>
          </w:p>
        </w:tc>
        <w:tc>
          <w:tcPr>
            <w:tcW w:type="dxa" w:w="3249"/>
          </w:tcPr>
          <w:p>
            <w:pPr>
              <w:spacing w:after="20"/>
            </w:pPr>
            <w:r>
              <w:rPr>
                <w:sz w:val="17"/>
              </w:rPr>
            </w:r>
            <w:r>
              <w:rPr>
                <w:sz w:val="17"/>
              </w:rPr>
              <w:t>7.2.8</w:t>
            </w:r>
          </w:p>
        </w:tc>
        <w:tc>
          <w:tcPr>
            <w:tcW w:type="dxa" w:w="3249"/>
          </w:tcPr>
          <w:p>
            <w:pPr>
              <w:spacing w:after="20"/>
            </w:pPr>
            <w:r>
              <w:rPr>
                <w:sz w:val="17"/>
              </w:rPr>
            </w:r>
            <w:r>
              <w:rPr>
                <w:sz w:val="17"/>
              </w:rPr>
              <w:t>Neural narration.</w:t>
            </w:r>
          </w:p>
        </w:tc>
      </w:tr>
      <w:tr>
        <w:tc>
          <w:tcPr>
            <w:tcW w:type="dxa" w:w="3249"/>
          </w:tcPr>
          <w:p>
            <w:pPr>
              <w:spacing w:after="20"/>
            </w:pPr>
            <w:r>
              <w:rPr>
                <w:sz w:val="17"/>
              </w:rPr>
            </w:r>
            <w:r>
              <w:rPr>
                <w:sz w:val="17"/>
              </w:rPr>
              <w:t>FFmpeg (bundled)</w:t>
            </w:r>
          </w:p>
        </w:tc>
        <w:tc>
          <w:tcPr>
            <w:tcW w:type="dxa" w:w="3249"/>
          </w:tcPr>
          <w:p>
            <w:pPr>
              <w:spacing w:after="20"/>
            </w:pPr>
            <w:r>
              <w:rPr>
                <w:sz w:val="17"/>
              </w:rPr>
            </w:r>
            <w:r>
              <w:rPr>
                <w:sz w:val="17"/>
              </w:rPr>
              <w:t>imageio-ffmpeg 0.6.0</w:t>
            </w:r>
          </w:p>
        </w:tc>
        <w:tc>
          <w:tcPr>
            <w:tcW w:type="dxa" w:w="3249"/>
          </w:tcPr>
          <w:p>
            <w:pPr>
              <w:spacing w:after="20"/>
            </w:pPr>
            <w:r>
              <w:rPr>
                <w:sz w:val="17"/>
              </w:rPr>
            </w:r>
            <w:r>
              <w:rPr>
                <w:sz w:val="17"/>
              </w:rPr>
              <w:t>Video assembly, loudness normalisation, muxing, captions, chapter metadata, logo overlay.</w:t>
            </w:r>
          </w:p>
        </w:tc>
      </w:tr>
      <w:tr>
        <w:tc>
          <w:tcPr>
            <w:tcW w:type="dxa" w:w="3249"/>
          </w:tcPr>
          <w:p>
            <w:pPr>
              <w:spacing w:after="20"/>
            </w:pPr>
            <w:r>
              <w:rPr>
                <w:sz w:val="17"/>
              </w:rPr>
            </w:r>
            <w:r>
              <w:rPr>
                <w:sz w:val="17"/>
              </w:rPr>
              <w:t>PyAV</w:t>
            </w:r>
          </w:p>
        </w:tc>
        <w:tc>
          <w:tcPr>
            <w:tcW w:type="dxa" w:w="3249"/>
          </w:tcPr>
          <w:p>
            <w:pPr>
              <w:spacing w:after="20"/>
            </w:pPr>
            <w:r>
              <w:rPr>
                <w:sz w:val="17"/>
              </w:rPr>
            </w:r>
            <w:r>
              <w:rPr>
                <w:sz w:val="17"/>
              </w:rPr>
              <w:t>18.1.0</w:t>
            </w:r>
          </w:p>
        </w:tc>
        <w:tc>
          <w:tcPr>
            <w:tcW w:type="dxa" w:w="3249"/>
          </w:tcPr>
          <w:p>
            <w:pPr>
              <w:spacing w:after="20"/>
            </w:pPr>
            <w:r>
              <w:rPr>
                <w:sz w:val="17"/>
              </w:rPr>
            </w:r>
            <w:r>
              <w:rPr>
                <w:sz w:val="17"/>
              </w:rPr>
              <w:t>Poster images.</w:t>
            </w:r>
          </w:p>
        </w:tc>
      </w:tr>
      <w:tr>
        <w:tc>
          <w:tcPr>
            <w:tcW w:type="dxa" w:w="3249"/>
          </w:tcPr>
          <w:p>
            <w:pPr>
              <w:spacing w:after="20"/>
            </w:pPr>
            <w:r>
              <w:rPr>
                <w:sz w:val="17"/>
              </w:rPr>
            </w:r>
            <w:r>
              <w:rPr>
                <w:sz w:val="17"/>
              </w:rPr>
              <w:t>Pillow</w:t>
            </w:r>
          </w:p>
        </w:tc>
        <w:tc>
          <w:tcPr>
            <w:tcW w:type="dxa" w:w="3249"/>
          </w:tcPr>
          <w:p>
            <w:pPr>
              <w:spacing w:after="20"/>
            </w:pPr>
            <w:r>
              <w:rPr>
                <w:sz w:val="17"/>
              </w:rPr>
            </w:r>
            <w:r>
              <w:rPr>
                <w:sz w:val="17"/>
              </w:rPr>
              <w:t>12.3.0</w:t>
            </w:r>
          </w:p>
        </w:tc>
        <w:tc>
          <w:tcPr>
            <w:tcW w:type="dxa" w:w="3249"/>
          </w:tcPr>
          <w:p>
            <w:pPr>
              <w:spacing w:after="20"/>
            </w:pPr>
            <w:r>
              <w:rPr>
                <w:sz w:val="17"/>
              </w:rPr>
            </w:r>
            <w:r>
              <w:rPr>
                <w:sz w:val="17"/>
              </w:rPr>
              <w:t>Poster and branding assets.</w:t>
            </w:r>
          </w:p>
        </w:tc>
      </w:tr>
      <w:tr>
        <w:tc>
          <w:tcPr>
            <w:tcW w:type="dxa" w:w="3249"/>
          </w:tcPr>
          <w:p>
            <w:pPr>
              <w:spacing w:after="20"/>
            </w:pPr>
            <w:r>
              <w:rPr>
                <w:sz w:val="17"/>
              </w:rPr>
            </w:r>
            <w:r>
              <w:rPr>
                <w:sz w:val="17"/>
              </w:rPr>
              <w:t>matplotlib</w:t>
            </w:r>
          </w:p>
        </w:tc>
        <w:tc>
          <w:tcPr>
            <w:tcW w:type="dxa" w:w="3249"/>
          </w:tcPr>
          <w:p>
            <w:pPr>
              <w:spacing w:after="20"/>
            </w:pPr>
            <w:r>
              <w:rPr>
                <w:sz w:val="17"/>
              </w:rPr>
            </w:r>
            <w:r>
              <w:rPr>
                <w:sz w:val="17"/>
              </w:rPr>
              <w:t>3.11.2</w:t>
            </w:r>
          </w:p>
        </w:tc>
        <w:tc>
          <w:tcPr>
            <w:tcW w:type="dxa" w:w="3249"/>
          </w:tcPr>
          <w:p>
            <w:pPr>
              <w:spacing w:after="20"/>
            </w:pPr>
            <w:r>
              <w:rPr>
                <w:sz w:val="17"/>
              </w:rPr>
            </w:r>
            <w:r>
              <w:rPr>
                <w:sz w:val="17"/>
              </w:rPr>
              <w:t>Publication figures in this document.</w:t>
            </w:r>
          </w:p>
        </w:tc>
      </w:tr>
      <w:tr>
        <w:tc>
          <w:tcPr>
            <w:tcW w:type="dxa" w:w="3249"/>
          </w:tcPr>
          <w:p>
            <w:pPr>
              <w:spacing w:after="20"/>
            </w:pPr>
            <w:r>
              <w:rPr>
                <w:sz w:val="17"/>
              </w:rPr>
            </w:r>
            <w:r>
              <w:rPr>
                <w:sz w:val="17"/>
              </w:rPr>
              <w:t>Space Grotesk, Outfit, Sora (fonts)</w:t>
            </w:r>
          </w:p>
        </w:tc>
        <w:tc>
          <w:tcPr>
            <w:tcW w:type="dxa" w:w="3249"/>
          </w:tcPr>
          <w:p>
            <w:pPr>
              <w:spacing w:after="20"/>
            </w:pPr>
            <w:r>
              <w:rPr>
                <w:sz w:val="17"/>
              </w:rPr>
            </w:r>
            <w:r>
              <w:rPr>
                <w:sz w:val="17"/>
              </w:rPr>
              <w:t>—</w:t>
            </w:r>
          </w:p>
        </w:tc>
        <w:tc>
          <w:tcPr>
            <w:tcW w:type="dxa" w:w="3249"/>
          </w:tcPr>
          <w:p>
            <w:pPr>
              <w:spacing w:after="20"/>
            </w:pPr>
            <w:r>
              <w:rPr>
                <w:sz w:val="17"/>
              </w:rPr>
            </w:r>
            <w:r>
              <w:rPr>
                <w:sz w:val="17"/>
              </w:rPr>
              <w:t>Brand typography; the logo wordmark uses Space Grotesk.</w:t>
            </w:r>
          </w:p>
        </w:tc>
      </w:tr>
    </w:tbl>
    <w:p/>
    <w:p>
      <w:pPr>
        <w:pStyle w:val="Heading2"/>
      </w:pPr>
      <w:r>
        <w:t>4.3 Web</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5E7EB"/>
          </w:tcPr>
          <w:p>
            <w:pPr>
              <w:spacing w:after="20"/>
            </w:pPr>
            <w:r>
              <w:rPr>
                <w:b/>
                <w:sz w:val="17"/>
              </w:rPr>
            </w:r>
            <w:r>
              <w:rPr>
                <w:b/>
                <w:sz w:val="17"/>
              </w:rPr>
              <w:t>Tool</w:t>
            </w:r>
          </w:p>
        </w:tc>
        <w:tc>
          <w:tcPr>
            <w:tcW w:type="dxa" w:w="3249"/>
            <w:shd w:val="clear" w:color="auto" w:fill="E5E7EB"/>
          </w:tcPr>
          <w:p>
            <w:pPr>
              <w:spacing w:after="20"/>
            </w:pPr>
            <w:r>
              <w:rPr>
                <w:b/>
                <w:sz w:val="17"/>
              </w:rPr>
            </w:r>
            <w:r>
              <w:rPr>
                <w:b/>
                <w:sz w:val="17"/>
              </w:rPr>
              <w:t>Version</w:t>
            </w:r>
          </w:p>
        </w:tc>
        <w:tc>
          <w:tcPr>
            <w:tcW w:type="dxa" w:w="3249"/>
            <w:shd w:val="clear" w:color="auto" w:fill="E5E7EB"/>
          </w:tcPr>
          <w:p>
            <w:pPr>
              <w:spacing w:after="20"/>
            </w:pPr>
            <w:r>
              <w:rPr>
                <w:b/>
                <w:sz w:val="17"/>
              </w:rPr>
            </w:r>
            <w:r>
              <w:rPr>
                <w:b/>
                <w:sz w:val="17"/>
              </w:rPr>
              <w:t>Role</w:t>
            </w:r>
          </w:p>
        </w:tc>
      </w:tr>
      <w:tr>
        <w:tc>
          <w:tcPr>
            <w:tcW w:type="dxa" w:w="3249"/>
          </w:tcPr>
          <w:p>
            <w:pPr>
              <w:spacing w:after="20"/>
            </w:pPr>
            <w:r>
              <w:rPr>
                <w:sz w:val="17"/>
              </w:rPr>
            </w:r>
            <w:r>
              <w:rPr>
                <w:sz w:val="17"/>
              </w:rPr>
              <w:t>Static site generator (</w:t>
            </w:r>
            <w:r>
              <w:rPr>
                <w:rFonts w:ascii="Consolas" w:hAnsi="Consolas"/>
                <w:sz w:val="17"/>
              </w:rPr>
              <w:t>web/build_site.py</w:t>
            </w:r>
            <w:r>
              <w:rPr>
                <w:sz w:val="17"/>
              </w:rPr>
              <w:t>)</w:t>
            </w:r>
          </w:p>
        </w:tc>
        <w:tc>
          <w:tcPr>
            <w:tcW w:type="dxa" w:w="3249"/>
          </w:tcPr>
          <w:p>
            <w:pPr>
              <w:spacing w:after="20"/>
            </w:pPr>
            <w:r>
              <w:rPr>
                <w:sz w:val="17"/>
              </w:rPr>
            </w:r>
            <w:r>
              <w:rPr>
                <w:sz w:val="17"/>
              </w:rPr>
              <w:t>project code</w:t>
            </w:r>
          </w:p>
        </w:tc>
        <w:tc>
          <w:tcPr>
            <w:tcW w:type="dxa" w:w="3249"/>
          </w:tcPr>
          <w:p>
            <w:pPr>
              <w:spacing w:after="20"/>
            </w:pPr>
            <w:r>
              <w:rPr>
                <w:sz w:val="17"/>
              </w:rPr>
            </w:r>
            <w:r>
              <w:rPr>
                <w:sz w:val="17"/>
              </w:rPr>
              <w:t>Builds the home page and one page per lesson from the lesson files.</w:t>
            </w:r>
          </w:p>
        </w:tc>
      </w:tr>
      <w:tr>
        <w:tc>
          <w:tcPr>
            <w:tcW w:type="dxa" w:w="3249"/>
          </w:tcPr>
          <w:p>
            <w:pPr>
              <w:spacing w:after="20"/>
            </w:pPr>
            <w:r>
              <w:rPr>
                <w:sz w:val="17"/>
              </w:rPr>
            </w:r>
            <w:r>
              <w:rPr>
                <w:sz w:val="17"/>
              </w:rPr>
              <w:t>KaTeX</w:t>
            </w:r>
          </w:p>
        </w:tc>
        <w:tc>
          <w:tcPr>
            <w:tcW w:type="dxa" w:w="3249"/>
          </w:tcPr>
          <w:p>
            <w:pPr>
              <w:spacing w:after="20"/>
            </w:pPr>
            <w:r>
              <w:rPr>
                <w:sz w:val="17"/>
              </w:rPr>
            </w:r>
            <w:r>
              <w:rPr>
                <w:sz w:val="17"/>
              </w:rPr>
              <w:t>0.16.9</w:t>
            </w:r>
          </w:p>
        </w:tc>
        <w:tc>
          <w:tcPr>
            <w:tcW w:type="dxa" w:w="3249"/>
          </w:tcPr>
          <w:p>
            <w:pPr>
              <w:spacing w:after="20"/>
            </w:pPr>
            <w:r>
              <w:rPr>
                <w:sz w:val="17"/>
              </w:rPr>
            </w:r>
            <w:r>
              <w:rPr>
                <w:sz w:val="17"/>
              </w:rPr>
              <w:t>Typesets the same equations on the web page.</w:t>
            </w:r>
          </w:p>
        </w:tc>
      </w:tr>
      <w:tr>
        <w:tc>
          <w:tcPr>
            <w:tcW w:type="dxa" w:w="3249"/>
          </w:tcPr>
          <w:p>
            <w:pPr>
              <w:spacing w:after="20"/>
            </w:pPr>
            <w:r>
              <w:rPr>
                <w:sz w:val="17"/>
              </w:rPr>
            </w:r>
            <w:r>
              <w:rPr>
                <w:sz w:val="17"/>
              </w:rPr>
              <w:t>Three.js</w:t>
            </w:r>
          </w:p>
        </w:tc>
        <w:tc>
          <w:tcPr>
            <w:tcW w:type="dxa" w:w="3249"/>
          </w:tcPr>
          <w:p>
            <w:pPr>
              <w:spacing w:after="20"/>
            </w:pPr>
            <w:r>
              <w:rPr>
                <w:sz w:val="17"/>
              </w:rPr>
            </w:r>
            <w:r>
              <w:rPr>
                <w:sz w:val="17"/>
              </w:rPr>
              <w:t>0.160.0</w:t>
            </w:r>
          </w:p>
        </w:tc>
        <w:tc>
          <w:tcPr>
            <w:tcW w:type="dxa" w:w="3249"/>
          </w:tcPr>
          <w:p>
            <w:pPr>
              <w:spacing w:after="20"/>
            </w:pPr>
            <w:r>
              <w:rPr>
                <w:sz w:val="17"/>
              </w:rPr>
            </w:r>
            <w:r>
              <w:rPr>
                <w:sz w:val="17"/>
              </w:rPr>
              <w:t>Live 3D experiments in the browser.</w:t>
            </w:r>
          </w:p>
        </w:tc>
      </w:tr>
      <w:tr>
        <w:tc>
          <w:tcPr>
            <w:tcW w:type="dxa" w:w="3249"/>
          </w:tcPr>
          <w:p>
            <w:pPr>
              <w:spacing w:after="20"/>
            </w:pPr>
            <w:r>
              <w:rPr>
                <w:sz w:val="17"/>
              </w:rPr>
            </w:r>
            <w:r>
              <w:rPr>
                <w:sz w:val="17"/>
              </w:rPr>
              <w:t>Node.js</w:t>
            </w:r>
          </w:p>
        </w:tc>
        <w:tc>
          <w:tcPr>
            <w:tcW w:type="dxa" w:w="3249"/>
          </w:tcPr>
          <w:p>
            <w:pPr>
              <w:spacing w:after="20"/>
            </w:pPr>
            <w:r>
              <w:rPr>
                <w:sz w:val="17"/>
              </w:rPr>
            </w:r>
            <w:r>
              <w:rPr>
                <w:sz w:val="17"/>
              </w:rPr>
              <w:t>24.18.0</w:t>
            </w:r>
          </w:p>
        </w:tc>
        <w:tc>
          <w:tcPr>
            <w:tcW w:type="dxa" w:w="3249"/>
          </w:tcPr>
          <w:p>
            <w:pPr>
              <w:spacing w:after="20"/>
            </w:pPr>
            <w:r>
              <w:rPr>
                <w:sz w:val="17"/>
              </w:rPr>
            </w:r>
            <w:r>
              <w:rPr>
                <w:sz w:val="17"/>
              </w:rPr>
              <w:t>Front-end tooling and experiment tests.</w:t>
            </w:r>
          </w:p>
        </w:tc>
      </w:tr>
      <w:tr>
        <w:tc>
          <w:tcPr>
            <w:tcW w:type="dxa" w:w="3249"/>
          </w:tcPr>
          <w:p>
            <w:pPr>
              <w:spacing w:after="20"/>
            </w:pPr>
            <w:r>
              <w:rPr>
                <w:sz w:val="17"/>
              </w:rPr>
            </w:r>
            <w:r>
              <w:rPr>
                <w:sz w:val="17"/>
              </w:rPr>
              <w:t>Design system</w:t>
            </w:r>
          </w:p>
        </w:tc>
        <w:tc>
          <w:tcPr>
            <w:tcW w:type="dxa" w:w="3249"/>
          </w:tcPr>
          <w:p>
            <w:pPr>
              <w:spacing w:after="20"/>
            </w:pPr>
            <w:r>
              <w:rPr>
                <w:sz w:val="17"/>
              </w:rPr>
            </w:r>
            <w:r>
              <w:rPr>
                <w:sz w:val="17"/>
              </w:rPr>
              <w:t>Project design tokens</w:t>
            </w:r>
          </w:p>
        </w:tc>
        <w:tc>
          <w:tcPr>
            <w:tcW w:type="dxa" w:w="3249"/>
          </w:tcPr>
          <w:p>
            <w:pPr>
              <w:spacing w:after="20"/>
            </w:pPr>
            <w:r>
              <w:rPr>
                <w:sz w:val="17"/>
              </w:rPr>
            </w:r>
            <w:r>
              <w:rPr>
                <w:sz w:val="17"/>
              </w:rPr>
              <w:t>Light, Swiss-minimal tokens: Inter, Source Serif 4, Space Grotesk; primary #2563EB.</w:t>
            </w:r>
          </w:p>
        </w:tc>
      </w:tr>
    </w:tbl>
    <w:p/>
    <w:p>
      <w:pPr>
        <w:pStyle w:val="Heading2"/>
      </w:pPr>
      <w:r>
        <w:t>4.4 Authoring environment</w:t>
      </w:r>
    </w:p>
    <w:p>
      <w:r>
        <w:t>The agent roles run inside an LLM agent runtime (file tools, shell, browser for visual checks) and follow a written set of house rules covering pedagogy, visual style and production standards. The rules are part of the private pipeline. The Historian role checks people, dates and industry claims against primary sources.</w:t>
      </w:r>
    </w:p>
    <w:p>
      <w:pPr>
        <w:pStyle w:val="Heading1"/>
      </w:pPr>
      <w:r>
        <w:t>5. The multi-agent system</w:t>
      </w:r>
    </w:p>
    <w:p>
      <w:r>
        <w:t>One orchestrator and eight specialised agent roles. Each role owns one artifact and must pass a gate before its work is accepted. Roles never share a conversation; they hand each other files.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5E7EB"/>
          </w:tcPr>
          <w:p>
            <w:pPr>
              <w:spacing w:after="20"/>
            </w:pPr>
            <w:r>
              <w:rPr>
                <w:b/>
                <w:sz w:val="17"/>
              </w:rPr>
            </w:r>
            <w:r>
              <w:rPr>
                <w:b/>
                <w:sz w:val="17"/>
              </w:rPr>
              <w:t>#</w:t>
            </w:r>
          </w:p>
        </w:tc>
        <w:tc>
          <w:tcPr>
            <w:tcW w:type="dxa" w:w="3249"/>
            <w:shd w:val="clear" w:color="auto" w:fill="E5E7EB"/>
          </w:tcPr>
          <w:p>
            <w:pPr>
              <w:spacing w:after="20"/>
            </w:pPr>
            <w:r>
              <w:rPr>
                <w:b/>
                <w:sz w:val="17"/>
              </w:rPr>
            </w:r>
            <w:r>
              <w:rPr>
                <w:b/>
                <w:sz w:val="17"/>
              </w:rPr>
              <w:t>Role</w:t>
            </w:r>
          </w:p>
        </w:tc>
        <w:tc>
          <w:tcPr>
            <w:tcW w:type="dxa" w:w="3249"/>
            <w:shd w:val="clear" w:color="auto" w:fill="E5E7EB"/>
          </w:tcPr>
          <w:p>
            <w:pPr>
              <w:spacing w:after="20"/>
            </w:pPr>
            <w:r>
              <w:rPr>
                <w:b/>
                <w:sz w:val="17"/>
              </w:rPr>
            </w:r>
            <w:r>
              <w:rPr>
                <w:b/>
                <w:sz w:val="17"/>
              </w:rPr>
              <w:t>Owns</w:t>
            </w:r>
          </w:p>
        </w:tc>
      </w:tr>
      <w:tr>
        <w:tc>
          <w:tcPr>
            <w:tcW w:type="dxa" w:w="3249"/>
          </w:tcPr>
          <w:p>
            <w:pPr>
              <w:spacing w:after="20"/>
            </w:pPr>
            <w:r>
              <w:rPr>
                <w:sz w:val="17"/>
              </w:rPr>
            </w:r>
            <w:r>
              <w:rPr>
                <w:sz w:val="17"/>
              </w:rPr>
              <w:t>0</w:t>
            </w:r>
          </w:p>
        </w:tc>
        <w:tc>
          <w:tcPr>
            <w:tcW w:type="dxa" w:w="3249"/>
          </w:tcPr>
          <w:p>
            <w:pPr>
              <w:spacing w:after="20"/>
            </w:pPr>
            <w:r>
              <w:rPr>
                <w:sz w:val="17"/>
              </w:rPr>
            </w:r>
            <w:r>
              <w:rPr>
                <w:b/>
                <w:sz w:val="17"/>
              </w:rPr>
              <w:t>Orchestrator</w:t>
            </w:r>
            <w:r>
              <w:rPr>
                <w:sz w:val="17"/>
              </w:rPr>
              <w:t xml:space="preserve"> ("Lesson Director")</w:t>
            </w:r>
          </w:p>
        </w:tc>
        <w:tc>
          <w:tcPr>
            <w:tcW w:type="dxa" w:w="3249"/>
          </w:tcPr>
          <w:p>
            <w:pPr>
              <w:spacing w:after="20"/>
            </w:pPr>
            <w:r>
              <w:rPr>
                <w:sz w:val="17"/>
              </w:rPr>
            </w:r>
            <w:r>
              <w:rPr>
                <w:sz w:val="17"/>
              </w:rPr>
              <w:t>The job: routing, retries, approval requests. Never writes content.</w:t>
            </w:r>
          </w:p>
        </w:tc>
      </w:tr>
      <w:tr>
        <w:tc>
          <w:tcPr>
            <w:tcW w:type="dxa" w:w="3249"/>
          </w:tcPr>
          <w:p>
            <w:pPr>
              <w:spacing w:after="20"/>
            </w:pPr>
            <w:r>
              <w:rPr>
                <w:sz w:val="17"/>
              </w:rPr>
            </w:r>
            <w:r>
              <w:rPr>
                <w:sz w:val="17"/>
              </w:rPr>
              <w:t>1</w:t>
            </w:r>
          </w:p>
        </w:tc>
        <w:tc>
          <w:tcPr>
            <w:tcW w:type="dxa" w:w="3249"/>
          </w:tcPr>
          <w:p>
            <w:pPr>
              <w:spacing w:after="20"/>
            </w:pPr>
            <w:r>
              <w:rPr>
                <w:sz w:val="17"/>
              </w:rPr>
            </w:r>
            <w:r>
              <w:rPr>
                <w:b/>
                <w:sz w:val="17"/>
              </w:rPr>
              <w:t>Profiler</w:t>
            </w:r>
          </w:p>
        </w:tc>
        <w:tc>
          <w:tcPr>
            <w:tcW w:type="dxa" w:w="3249"/>
          </w:tcPr>
          <w:p>
            <w:pPr>
              <w:spacing w:after="20"/>
            </w:pPr>
            <w:r>
              <w:rPr>
                <w:sz w:val="17"/>
              </w:rPr>
            </w:r>
            <w:r>
              <w:rPr>
                <w:sz w:val="17"/>
              </w:rPr>
              <w:t>Learning objectives and the prerequisite ladder for the learner's level and field.</w:t>
            </w:r>
          </w:p>
        </w:tc>
      </w:tr>
      <w:tr>
        <w:tc>
          <w:tcPr>
            <w:tcW w:type="dxa" w:w="3249"/>
          </w:tcPr>
          <w:p>
            <w:pPr>
              <w:spacing w:after="20"/>
            </w:pPr>
            <w:r>
              <w:rPr>
                <w:sz w:val="17"/>
              </w:rPr>
            </w:r>
            <w:r>
              <w:rPr>
                <w:sz w:val="17"/>
              </w:rPr>
              <w:t>2</w:t>
            </w:r>
          </w:p>
        </w:tc>
        <w:tc>
          <w:tcPr>
            <w:tcW w:type="dxa" w:w="3249"/>
          </w:tcPr>
          <w:p>
            <w:pPr>
              <w:spacing w:after="20"/>
            </w:pPr>
            <w:r>
              <w:rPr>
                <w:sz w:val="17"/>
              </w:rPr>
            </w:r>
            <w:r>
              <w:rPr>
                <w:b/>
                <w:sz w:val="17"/>
              </w:rPr>
              <w:t>Historian</w:t>
            </w:r>
          </w:p>
        </w:tc>
        <w:tc>
          <w:tcPr>
            <w:tcW w:type="dxa" w:w="3249"/>
          </w:tcPr>
          <w:p>
            <w:pPr>
              <w:spacing w:after="20"/>
            </w:pPr>
            <w:r>
              <w:rPr>
                <w:sz w:val="17"/>
              </w:rPr>
            </w:r>
            <w:r>
              <w:rPr>
                <w:sz w:val="17"/>
              </w:rPr>
              <w:t>Real-world uses and sources for every claim.</w:t>
            </w:r>
          </w:p>
        </w:tc>
      </w:tr>
      <w:tr>
        <w:tc>
          <w:tcPr>
            <w:tcW w:type="dxa" w:w="3249"/>
          </w:tcPr>
          <w:p>
            <w:pPr>
              <w:spacing w:after="20"/>
            </w:pPr>
            <w:r>
              <w:rPr>
                <w:sz w:val="17"/>
              </w:rPr>
            </w:r>
            <w:r>
              <w:rPr>
                <w:sz w:val="17"/>
              </w:rPr>
              <w:t>3</w:t>
            </w:r>
          </w:p>
        </w:tc>
        <w:tc>
          <w:tcPr>
            <w:tcW w:type="dxa" w:w="3249"/>
          </w:tcPr>
          <w:p>
            <w:pPr>
              <w:spacing w:after="20"/>
            </w:pPr>
            <w:r>
              <w:rPr>
                <w:sz w:val="17"/>
              </w:rPr>
            </w:r>
            <w:r>
              <w:rPr>
                <w:b/>
                <w:sz w:val="17"/>
              </w:rPr>
              <w:t>Math Author</w:t>
            </w:r>
          </w:p>
        </w:tc>
        <w:tc>
          <w:tcPr>
            <w:tcW w:type="dxa" w:w="3249"/>
          </w:tcPr>
          <w:p>
            <w:pPr>
              <w:spacing w:after="20"/>
            </w:pPr>
            <w:r>
              <w:rPr>
                <w:sz w:val="17"/>
              </w:rPr>
            </w:r>
            <w:r>
              <w:rPr>
                <w:sz w:val="17"/>
              </w:rPr>
              <w:t>The mathematics as runnable code, with the facts a lesson may quote.</w:t>
            </w:r>
          </w:p>
        </w:tc>
      </w:tr>
      <w:tr>
        <w:tc>
          <w:tcPr>
            <w:tcW w:type="dxa" w:w="3249"/>
          </w:tcPr>
          <w:p>
            <w:pPr>
              <w:spacing w:after="20"/>
            </w:pPr>
            <w:r>
              <w:rPr>
                <w:sz w:val="17"/>
              </w:rPr>
            </w:r>
            <w:r>
              <w:rPr>
                <w:sz w:val="17"/>
              </w:rPr>
              <w:t>4</w:t>
            </w:r>
          </w:p>
        </w:tc>
        <w:tc>
          <w:tcPr>
            <w:tcW w:type="dxa" w:w="3249"/>
          </w:tcPr>
          <w:p>
            <w:pPr>
              <w:spacing w:after="20"/>
            </w:pPr>
            <w:r>
              <w:rPr>
                <w:sz w:val="17"/>
              </w:rPr>
            </w:r>
            <w:r>
              <w:rPr>
                <w:b/>
                <w:sz w:val="17"/>
              </w:rPr>
              <w:t>Math Verifier</w:t>
            </w:r>
          </w:p>
        </w:tc>
        <w:tc>
          <w:tcPr>
            <w:tcW w:type="dxa" w:w="3249"/>
          </w:tcPr>
          <w:p>
            <w:pPr>
              <w:spacing w:after="20"/>
            </w:pPr>
            <w:r>
              <w:rPr>
                <w:sz w:val="17"/>
              </w:rPr>
            </w:r>
            <w:r>
              <w:rPr>
                <w:sz w:val="17"/>
              </w:rPr>
              <w:t>The tests that try to break that code (125 today).</w:t>
            </w:r>
          </w:p>
        </w:tc>
      </w:tr>
      <w:tr>
        <w:tc>
          <w:tcPr>
            <w:tcW w:type="dxa" w:w="3249"/>
          </w:tcPr>
          <w:p>
            <w:pPr>
              <w:spacing w:after="20"/>
            </w:pPr>
            <w:r>
              <w:rPr>
                <w:sz w:val="17"/>
              </w:rPr>
            </w:r>
            <w:r>
              <w:rPr>
                <w:sz w:val="17"/>
              </w:rPr>
              <w:t>5</w:t>
            </w:r>
          </w:p>
        </w:tc>
        <w:tc>
          <w:tcPr>
            <w:tcW w:type="dxa" w:w="3249"/>
          </w:tcPr>
          <w:p>
            <w:pPr>
              <w:spacing w:after="20"/>
            </w:pPr>
            <w:r>
              <w:rPr>
                <w:sz w:val="17"/>
              </w:rPr>
            </w:r>
            <w:r>
              <w:rPr>
                <w:b/>
                <w:sz w:val="17"/>
              </w:rPr>
              <w:t>Lesson Writer</w:t>
            </w:r>
          </w:p>
        </w:tc>
        <w:tc>
          <w:tcPr>
            <w:tcW w:type="dxa" w:w="3249"/>
          </w:tcPr>
          <w:p>
            <w:pPr>
              <w:spacing w:after="20"/>
            </w:pPr>
            <w:r>
              <w:rPr>
                <w:sz w:val="17"/>
              </w:rPr>
            </w:r>
            <w:r>
              <w:rPr>
                <w:rFonts w:ascii="Consolas" w:hAnsi="Consolas"/>
                <w:sz w:val="17"/>
              </w:rPr>
              <w:t>lessons/&lt;id&gt;/lesson.yaml</w:t>
            </w:r>
            <w:r>
              <w:rPr>
                <w:sz w:val="17"/>
              </w:rPr>
              <w:t>: chapters, narration, equations, quiz, SEO/AEO/GEO block.</w:t>
            </w:r>
          </w:p>
        </w:tc>
      </w:tr>
      <w:tr>
        <w:tc>
          <w:tcPr>
            <w:tcW w:type="dxa" w:w="3249"/>
          </w:tcPr>
          <w:p>
            <w:pPr>
              <w:spacing w:after="20"/>
            </w:pPr>
            <w:r>
              <w:rPr>
                <w:sz w:val="17"/>
              </w:rPr>
            </w:r>
            <w:r>
              <w:rPr>
                <w:sz w:val="17"/>
              </w:rPr>
              <w:t>6</w:t>
            </w:r>
          </w:p>
        </w:tc>
        <w:tc>
          <w:tcPr>
            <w:tcW w:type="dxa" w:w="3249"/>
          </w:tcPr>
          <w:p>
            <w:pPr>
              <w:spacing w:after="20"/>
            </w:pPr>
            <w:r>
              <w:rPr>
                <w:sz w:val="17"/>
              </w:rPr>
            </w:r>
            <w:r>
              <w:rPr>
                <w:b/>
                <w:sz w:val="17"/>
              </w:rPr>
              <w:t>Animation Director</w:t>
            </w:r>
          </w:p>
        </w:tc>
        <w:tc>
          <w:tcPr>
            <w:tcW w:type="dxa" w:w="3249"/>
          </w:tcPr>
          <w:p>
            <w:pPr>
              <w:spacing w:after="20"/>
            </w:pPr>
            <w:r>
              <w:rPr>
                <w:sz w:val="17"/>
              </w:rPr>
            </w:r>
            <w:r>
              <w:rPr>
                <w:sz w:val="17"/>
              </w:rPr>
              <w:t>The animated scenes for each chapter.</w:t>
            </w:r>
          </w:p>
        </w:tc>
      </w:tr>
      <w:tr>
        <w:tc>
          <w:tcPr>
            <w:tcW w:type="dxa" w:w="3249"/>
          </w:tcPr>
          <w:p>
            <w:pPr>
              <w:spacing w:after="20"/>
            </w:pPr>
            <w:r>
              <w:rPr>
                <w:sz w:val="17"/>
              </w:rPr>
            </w:r>
            <w:r>
              <w:rPr>
                <w:sz w:val="17"/>
              </w:rPr>
              <w:t>7</w:t>
            </w:r>
          </w:p>
        </w:tc>
        <w:tc>
          <w:tcPr>
            <w:tcW w:type="dxa" w:w="3249"/>
          </w:tcPr>
          <w:p>
            <w:pPr>
              <w:spacing w:after="20"/>
            </w:pPr>
            <w:r>
              <w:rPr>
                <w:sz w:val="17"/>
              </w:rPr>
            </w:r>
            <w:r>
              <w:rPr>
                <w:b/>
                <w:sz w:val="17"/>
              </w:rPr>
              <w:t>Visual Critic</w:t>
            </w:r>
          </w:p>
        </w:tc>
        <w:tc>
          <w:tcPr>
            <w:tcW w:type="dxa" w:w="3249"/>
          </w:tcPr>
          <w:p>
            <w:pPr>
              <w:spacing w:after="20"/>
            </w:pPr>
            <w:r>
              <w:rPr>
                <w:sz w:val="17"/>
              </w:rPr>
            </w:r>
            <w:r>
              <w:rPr>
                <w:sz w:val="17"/>
              </w:rPr>
              <w:t>The frame-by-frame review of the rendered scenes.</w:t>
            </w:r>
          </w:p>
        </w:tc>
      </w:tr>
      <w:tr>
        <w:tc>
          <w:tcPr>
            <w:tcW w:type="dxa" w:w="3249"/>
          </w:tcPr>
          <w:p>
            <w:pPr>
              <w:spacing w:after="20"/>
            </w:pPr>
            <w:r>
              <w:rPr>
                <w:sz w:val="17"/>
              </w:rPr>
            </w:r>
            <w:r>
              <w:rPr>
                <w:sz w:val="17"/>
              </w:rPr>
              <w:t>8</w:t>
            </w:r>
          </w:p>
        </w:tc>
        <w:tc>
          <w:tcPr>
            <w:tcW w:type="dxa" w:w="3249"/>
          </w:tcPr>
          <w:p>
            <w:pPr>
              <w:spacing w:after="20"/>
            </w:pPr>
            <w:r>
              <w:rPr>
                <w:sz w:val="17"/>
              </w:rPr>
            </w:r>
            <w:r>
              <w:rPr>
                <w:b/>
                <w:sz w:val="17"/>
              </w:rPr>
              <w:t>Experiment Builder</w:t>
            </w:r>
          </w:p>
        </w:tc>
        <w:tc>
          <w:tcPr>
            <w:tcW w:type="dxa" w:w="3249"/>
          </w:tcPr>
          <w:p>
            <w:pPr>
              <w:spacing w:after="20"/>
            </w:pPr>
            <w:r>
              <w:rPr>
                <w:sz w:val="17"/>
              </w:rPr>
            </w:r>
            <w:r>
              <w:rPr>
                <w:sz w:val="17"/>
              </w:rPr>
              <w:t>The interactive experiment, checked against the same mathematics.</w:t>
            </w:r>
          </w:p>
        </w:tc>
      </w:tr>
    </w:tbl>
    <w:p/>
    <w:p>
      <w:r>
        <w:rPr>
          <w:b/>
        </w:rPr>
        <w:t>Independence is the point.</w:t>
      </w:r>
      <w:r>
        <w:t xml:space="preserve"> The Verifier and the Critic catch errors precisely because they did not produce the work they check.</w:t>
      </w:r>
    </w:p>
    <w:p>
      <w:pPr>
        <w:pStyle w:val="Heading1"/>
      </w:pPr>
      <w:r>
        <w:t>6. Orchestration structure</w:t>
      </w:r>
    </w:p>
    <w:p>
      <w:r>
        <w:t>A rule-based orchestrator moves every lesson through fixed verification gates: the mathematics tests must pass, the lesson file must validate with every placeholder resolved and every equation's test present, the founder must approve the storyboard, the animation must fit its narration, and every frame must pass visual review. A failed gate returns the exact error to the responsible role; after three failures the job stops for a person. The gates are deterministic programs, so a passing lesson is reproducible. The detailed job state machine, control rules and the timing contract between narration and animation are documented in the private repository.</w:t>
      </w:r>
    </w:p>
    <w:p>
      <w:pPr>
        <w:pStyle w:val="Heading1"/>
      </w:pPr>
      <w:r>
        <w:t>7. Single source of truth</w:t>
      </w:r>
    </w:p>
    <w:p>
      <w:pPr>
        <w:jc w:val="center"/>
      </w:pPr>
      <w:r>
        <w:drawing>
          <wp:inline xmlns:a="http://schemas.openxmlformats.org/drawingml/2006/main" xmlns:pic="http://schemas.openxmlformats.org/drawingml/2006/picture">
            <wp:extent cx="5940000" cy="2368466"/>
            <wp:docPr id="2" name="Picture 2"/>
            <wp:cNvGraphicFramePr>
              <a:graphicFrameLocks noChangeAspect="1"/>
            </wp:cNvGraphicFramePr>
            <a:graphic>
              <a:graphicData uri="http://schemas.openxmlformats.org/drawingml/2006/picture">
                <pic:pic>
                  <pic:nvPicPr>
                    <pic:cNvPr id="0" name="fig3_single_source_of_truth.png"/>
                    <pic:cNvPicPr/>
                  </pic:nvPicPr>
                  <pic:blipFill>
                    <a:blip r:embed="rId10"/>
                    <a:stretch>
                      <a:fillRect/>
                    </a:stretch>
                  </pic:blipFill>
                  <pic:spPr>
                    <a:xfrm>
                      <a:off x="0" y="0"/>
                      <a:ext cx="5940000" cy="2368466"/>
                    </a:xfrm>
                    <a:prstGeom prst="rect"/>
                  </pic:spPr>
                </pic:pic>
              </a:graphicData>
            </a:graphic>
          </wp:inline>
        </w:drawing>
      </w:r>
    </w:p>
    <w:p>
      <w:pPr>
        <w:jc w:val="center"/>
      </w:pPr>
      <w:r>
        <w:rPr>
          <w:i/>
          <w:sz w:val="18"/>
        </w:rPr>
        <w:t>Figure 3. The lesson file and the tested mathematics module generate the video, the web page and the experiment. Numbers flow one way, from tested code into prose.</w:t>
      </w:r>
    </w:p>
    <w:p>
      <w:r>
        <w:t>Two files define a lesson:</w:t>
      </w:r>
    </w:p>
    <w:p>
      <w:pPr>
        <w:pStyle w:val="ListBullet"/>
      </w:pPr>
      <w:r>
        <w:rPr>
          <w:b/>
        </w:rPr>
        <w:t>`mathcore/&lt;concept&gt;.py`</w:t>
      </w:r>
      <w:r>
        <w:t xml:space="preserve"> holds the concept as runnable code plus a </w:t>
      </w:r>
      <w:r>
        <w:rPr>
          <w:rFonts w:ascii="Consolas" w:hAnsi="Consolas"/>
          <w:sz w:val="19"/>
        </w:rPr>
        <w:t>lesson_facts()</w:t>
      </w:r>
      <w:r>
        <w:t xml:space="preserve"> function. Its tests are the only authority for every number.</w:t>
      </w:r>
    </w:p>
    <w:p>
      <w:pPr>
        <w:pStyle w:val="ListBullet"/>
      </w:pPr>
      <w:r>
        <w:rPr>
          <w:b/>
        </w:rPr>
        <w:t>`lessons/&lt;id&gt;/lesson.yaml`</w:t>
      </w:r>
      <w:r>
        <w:t xml:space="preserve"> holds the chapters and beats, the narration with </w:t>
      </w:r>
      <w:r>
        <w:rPr>
          <w:rFonts w:ascii="Consolas" w:hAnsi="Consolas"/>
          <w:sz w:val="19"/>
        </w:rPr>
        <w:t>{fact}</w:t>
      </w:r>
      <w:r>
        <w:t xml:space="preserve"> placeholders, the equations (each bound to a named test through </w:t>
      </w:r>
      <w:r>
        <w:rPr>
          <w:rFonts w:ascii="Consolas" w:hAnsi="Consolas"/>
          <w:sz w:val="19"/>
        </w:rPr>
        <w:t>checked_by</w:t>
      </w:r>
      <w:r>
        <w:t>), the animation cues, the quiz and the SEO/AEO/GEO block.</w:t>
      </w:r>
    </w:p>
    <w:p>
      <w:r>
        <w:t>The loader validates the schema, fills every placeholder from the facts dictionary, and refuses to build if an equation's test does not exist. The video, the page and the experiment are then generated from the same filled lesson, so they cannot disagree.</w:t>
      </w:r>
    </w:p>
    <w:p>
      <w:pPr>
        <w:pStyle w:val="Heading1"/>
      </w:pPr>
      <w:r>
        <w:t>7a. Five-layer workflow view (IEEE layout)</w:t>
      </w:r>
    </w:p>
    <w:p>
      <w:pPr>
        <w:jc w:val="center"/>
      </w:pPr>
      <w:r>
        <w:drawing>
          <wp:inline xmlns:a="http://schemas.openxmlformats.org/drawingml/2006/main" xmlns:pic="http://schemas.openxmlformats.org/drawingml/2006/picture">
            <wp:extent cx="5940000" cy="7775778"/>
            <wp:docPr id="3" name="Picture 3"/>
            <wp:cNvGraphicFramePr>
              <a:graphicFrameLocks noChangeAspect="1"/>
            </wp:cNvGraphicFramePr>
            <a:graphic>
              <a:graphicData uri="http://schemas.openxmlformats.org/drawingml/2006/picture">
                <pic:pic>
                  <pic:nvPicPr>
                    <pic:cNvPr id="0" name="architecture_ieee.png"/>
                    <pic:cNvPicPr/>
                  </pic:nvPicPr>
                  <pic:blipFill>
                    <a:blip r:embed="rId11"/>
                    <a:stretch>
                      <a:fillRect/>
                    </a:stretch>
                  </pic:blipFill>
                  <pic:spPr>
                    <a:xfrm>
                      <a:off x="0" y="0"/>
                      <a:ext cx="5940000" cy="7775778"/>
                    </a:xfrm>
                    <a:prstGeom prst="rect"/>
                  </pic:spPr>
                </pic:pic>
              </a:graphicData>
            </a:graphic>
          </wp:inline>
        </w:drawing>
      </w:r>
    </w:p>
    <w:p>
      <w:pPr>
        <w:jc w:val="center"/>
      </w:pPr>
      <w:r>
        <w:rPr>
          <w:i/>
          <w:sz w:val="18"/>
        </w:rPr>
        <w:t>Figure 4. The same system arranged as five horizontal layers in the IEEE Transactions convention: data preprocessing, orchestration and reasoning, core models and compute, governance and execution loop, downstream output and safety. Solid arrows are the forward flow; dotted arrows are the two bounded feedback loops. Source: `docs/figures/architecture_ieee.mmd` (Mermaid), exported to SVG, PDF and PNG.</w:t>
      </w:r>
    </w:p>
    <w:p>
      <w:pPr>
        <w:pStyle w:val="Heading1"/>
      </w:pPr>
      <w:r>
        <w:t>8. Implementation status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5E7EB"/>
          </w:tcPr>
          <w:p>
            <w:pPr>
              <w:spacing w:after="20"/>
            </w:pPr>
            <w:r>
              <w:rPr>
                <w:b/>
                <w:sz w:val="17"/>
              </w:rPr>
            </w:r>
            <w:r>
              <w:rPr>
                <w:b/>
                <w:sz w:val="17"/>
              </w:rPr>
              <w:t>Component</w:t>
            </w:r>
          </w:p>
        </w:tc>
        <w:tc>
          <w:tcPr>
            <w:tcW w:type="dxa" w:w="4873"/>
            <w:shd w:val="clear" w:color="auto" w:fill="E5E7EB"/>
          </w:tcPr>
          <w:p>
            <w:pPr>
              <w:spacing w:after="20"/>
            </w:pPr>
            <w:r>
              <w:rPr>
                <w:b/>
                <w:sz w:val="17"/>
              </w:rPr>
            </w:r>
            <w:r>
              <w:rPr>
                <w:b/>
                <w:sz w:val="17"/>
              </w:rPr>
              <w:t>Status (6 Oct 2026)</w:t>
            </w:r>
          </w:p>
        </w:tc>
      </w:tr>
      <w:tr>
        <w:tc>
          <w:tcPr>
            <w:tcW w:type="dxa" w:w="4873"/>
          </w:tcPr>
          <w:p>
            <w:pPr>
              <w:spacing w:after="20"/>
            </w:pPr>
            <w:r>
              <w:rPr>
                <w:sz w:val="17"/>
              </w:rPr>
            </w:r>
            <w:r>
              <w:rPr>
                <w:sz w:val="17"/>
              </w:rPr>
              <w:t>Mathematics modules and tests</w:t>
            </w:r>
          </w:p>
        </w:tc>
        <w:tc>
          <w:tcPr>
            <w:tcW w:type="dxa" w:w="4873"/>
          </w:tcPr>
          <w:p>
            <w:pPr>
              <w:spacing w:after="20"/>
            </w:pPr>
            <w:r>
              <w:rPr>
                <w:sz w:val="17"/>
              </w:rPr>
            </w:r>
            <w:r>
              <w:rPr>
                <w:b/>
                <w:sz w:val="17"/>
              </w:rPr>
              <w:t>Implemented.</w:t>
            </w:r>
            <w:r>
              <w:rPr>
                <w:sz w:val="17"/>
              </w:rPr>
              <w:t xml:space="preserve"> Seven modules, 125 passing tests.</w:t>
            </w:r>
          </w:p>
        </w:tc>
      </w:tr>
      <w:tr>
        <w:tc>
          <w:tcPr>
            <w:tcW w:type="dxa" w:w="4873"/>
          </w:tcPr>
          <w:p>
            <w:pPr>
              <w:spacing w:after="20"/>
            </w:pPr>
            <w:r>
              <w:rPr>
                <w:sz w:val="17"/>
              </w:rPr>
            </w:r>
            <w:r>
              <w:rPr>
                <w:sz w:val="17"/>
              </w:rPr>
              <w:t xml:space="preserve">Lesson schema, loader, facts binding, </w:t>
            </w:r>
            <w:r>
              <w:rPr>
                <w:rFonts w:ascii="Consolas" w:hAnsi="Consolas"/>
                <w:sz w:val="17"/>
              </w:rPr>
              <w:t>checked_by</w:t>
            </w:r>
            <w:r>
              <w:rPr>
                <w:sz w:val="17"/>
              </w:rPr>
              <w:t xml:space="preserve"> check</w:t>
            </w:r>
          </w:p>
        </w:tc>
        <w:tc>
          <w:tcPr>
            <w:tcW w:type="dxa" w:w="4873"/>
          </w:tcPr>
          <w:p>
            <w:pPr>
              <w:spacing w:after="20"/>
            </w:pPr>
            <w:r>
              <w:rPr>
                <w:sz w:val="17"/>
              </w:rPr>
            </w:r>
            <w:r>
              <w:rPr>
                <w:b/>
                <w:sz w:val="17"/>
              </w:rPr>
              <w:t>Implemented.</w:t>
            </w:r>
          </w:p>
        </w:tc>
      </w:tr>
      <w:tr>
        <w:tc>
          <w:tcPr>
            <w:tcW w:type="dxa" w:w="4873"/>
          </w:tcPr>
          <w:p>
            <w:pPr>
              <w:spacing w:after="20"/>
            </w:pPr>
            <w:r>
              <w:rPr>
                <w:sz w:val="17"/>
              </w:rPr>
            </w:r>
            <w:r>
              <w:rPr>
                <w:sz w:val="17"/>
              </w:rPr>
              <w:t>Video production pipeline: narration, animation, rendering, captions, chapters, SEO pack</w:t>
            </w:r>
          </w:p>
        </w:tc>
        <w:tc>
          <w:tcPr>
            <w:tcW w:type="dxa" w:w="4873"/>
          </w:tcPr>
          <w:p>
            <w:pPr>
              <w:spacing w:after="20"/>
            </w:pPr>
            <w:r>
              <w:rPr>
                <w:sz w:val="17"/>
              </w:rPr>
            </w:r>
            <w:r>
              <w:rPr>
                <w:b/>
                <w:sz w:val="17"/>
              </w:rPr>
              <w:t>Implemented</w:t>
            </w:r>
            <w:r>
              <w:rPr>
                <w:sz w:val="17"/>
              </w:rPr>
              <w:t xml:space="preserve"> (private repository).</w:t>
            </w:r>
          </w:p>
        </w:tc>
      </w:tr>
      <w:tr>
        <w:tc>
          <w:tcPr>
            <w:tcW w:type="dxa" w:w="4873"/>
          </w:tcPr>
          <w:p>
            <w:pPr>
              <w:spacing w:after="20"/>
            </w:pPr>
            <w:r>
              <w:rPr>
                <w:sz w:val="17"/>
              </w:rPr>
            </w:r>
            <w:r>
              <w:rPr>
                <w:sz w:val="17"/>
              </w:rPr>
              <w:t>Static site generator and six lesson pages</w:t>
            </w:r>
          </w:p>
        </w:tc>
        <w:tc>
          <w:tcPr>
            <w:tcW w:type="dxa" w:w="4873"/>
          </w:tcPr>
          <w:p>
            <w:pPr>
              <w:spacing w:after="20"/>
            </w:pPr>
            <w:r>
              <w:rPr>
                <w:sz w:val="17"/>
              </w:rPr>
            </w:r>
            <w:r>
              <w:rPr>
                <w:b/>
                <w:sz w:val="17"/>
              </w:rPr>
              <w:t>Implemented</w:t>
            </w:r>
            <w:r>
              <w:rPr>
                <w:sz w:val="17"/>
              </w:rPr>
              <w:t xml:space="preserve"> (private repository; the generated site is public).</w:t>
            </w:r>
          </w:p>
        </w:tc>
      </w:tr>
      <w:tr>
        <w:tc>
          <w:tcPr>
            <w:tcW w:type="dxa" w:w="4873"/>
          </w:tcPr>
          <w:p>
            <w:pPr>
              <w:spacing w:after="20"/>
            </w:pPr>
            <w:r>
              <w:rPr>
                <w:sz w:val="17"/>
              </w:rPr>
            </w:r>
            <w:r>
              <w:rPr>
                <w:sz w:val="17"/>
              </w:rPr>
              <w:t>Eight agent roles and the gates</w:t>
            </w:r>
          </w:p>
        </w:tc>
        <w:tc>
          <w:tcPr>
            <w:tcW w:type="dxa" w:w="4873"/>
          </w:tcPr>
          <w:p>
            <w:pPr>
              <w:spacing w:after="20"/>
            </w:pPr>
            <w:r>
              <w:rPr>
                <w:sz w:val="17"/>
              </w:rPr>
            </w:r>
            <w:r>
              <w:rPr>
                <w:b/>
                <w:sz w:val="17"/>
              </w:rPr>
              <w:t>Implemented as roles executed by the LLM agent inside its runtime</w:t>
            </w:r>
            <w:r>
              <w:rPr>
                <w:sz w:val="17"/>
              </w:rPr>
              <w:t>, under the founder's direction, one lesson at a time. The gates are real programs and were enforced for every lesson.</w:t>
            </w:r>
          </w:p>
        </w:tc>
      </w:tr>
      <w:tr>
        <w:tc>
          <w:tcPr>
            <w:tcW w:type="dxa" w:w="4873"/>
          </w:tcPr>
          <w:p>
            <w:pPr>
              <w:spacing w:after="20"/>
            </w:pPr>
            <w:r>
              <w:rPr>
                <w:sz w:val="17"/>
              </w:rPr>
            </w:r>
            <w:r>
              <w:rPr>
                <w:sz w:val="17"/>
              </w:rPr>
              <w:t>Orchestrator as an autonomous service (job store, queue, budget meter, approval inbox)</w:t>
            </w:r>
          </w:p>
        </w:tc>
        <w:tc>
          <w:tcPr>
            <w:tcW w:type="dxa" w:w="4873"/>
          </w:tcPr>
          <w:p>
            <w:pPr>
              <w:spacing w:after="20"/>
            </w:pPr>
            <w:r>
              <w:rPr>
                <w:sz w:val="17"/>
              </w:rPr>
            </w:r>
            <w:r>
              <w:rPr>
                <w:b/>
                <w:sz w:val="17"/>
              </w:rPr>
              <w:t>Target.</w:t>
            </w:r>
            <w:r>
              <w:rPr>
                <w:sz w:val="17"/>
              </w:rPr>
              <w:t xml:space="preserve"> Today the founder and the LLM agent session play this role by hand. Required for the paid on-demand feature.</w:t>
            </w:r>
          </w:p>
        </w:tc>
      </w:tr>
      <w:tr>
        <w:tc>
          <w:tcPr>
            <w:tcW w:type="dxa" w:w="4873"/>
          </w:tcPr>
          <w:p>
            <w:pPr>
              <w:spacing w:after="20"/>
            </w:pPr>
            <w:r>
              <w:rPr>
                <w:sz w:val="17"/>
              </w:rPr>
            </w:r>
            <w:r>
              <w:rPr>
                <w:sz w:val="17"/>
              </w:rPr>
              <w:t>Interactive experiments on the generated pages</w:t>
            </w:r>
          </w:p>
        </w:tc>
        <w:tc>
          <w:tcPr>
            <w:tcW w:type="dxa" w:w="4873"/>
          </w:tcPr>
          <w:p>
            <w:pPr>
              <w:spacing w:after="20"/>
            </w:pPr>
            <w:r>
              <w:rPr>
                <w:sz w:val="17"/>
              </w:rPr>
            </w:r>
            <w:r>
              <w:rPr>
                <w:b/>
                <w:sz w:val="17"/>
              </w:rPr>
              <w:t>Partially implemented.</w:t>
            </w:r>
            <w:r>
              <w:rPr>
                <w:sz w:val="17"/>
              </w:rPr>
              <w:t xml:space="preserve"> Three.js experiment exists in the design preview; wiring into every generated lesson page is pending.</w:t>
            </w:r>
          </w:p>
        </w:tc>
      </w:tr>
      <w:tr>
        <w:tc>
          <w:tcPr>
            <w:tcW w:type="dxa" w:w="4873"/>
          </w:tcPr>
          <w:p>
            <w:pPr>
              <w:spacing w:after="20"/>
            </w:pPr>
            <w:r>
              <w:rPr>
                <w:sz w:val="17"/>
              </w:rPr>
            </w:r>
            <w:r>
              <w:rPr>
                <w:sz w:val="17"/>
              </w:rPr>
              <w:t>Learner profiles, accounts, payments, hosting</w:t>
            </w:r>
          </w:p>
        </w:tc>
        <w:tc>
          <w:tcPr>
            <w:tcW w:type="dxa" w:w="4873"/>
          </w:tcPr>
          <w:p>
            <w:pPr>
              <w:spacing w:after="20"/>
            </w:pPr>
            <w:r>
              <w:rPr>
                <w:sz w:val="17"/>
              </w:rPr>
            </w:r>
            <w:r>
              <w:rPr>
                <w:b/>
                <w:sz w:val="17"/>
              </w:rPr>
              <w:t>Not started.</w:t>
            </w:r>
            <w:r>
              <w:rPr>
                <w:sz w:val="17"/>
              </w:rPr>
              <w:t xml:space="preserve"> Business decision on free versus paid first release is open.</w:t>
            </w:r>
          </w:p>
        </w:tc>
      </w:tr>
    </w:tbl>
    <w:p/>
    <w:p>
      <w:pPr>
        <w:pStyle w:val="Heading2"/>
      </w:pPr>
      <w:r>
        <w:t>Published lessons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5E7EB"/>
          </w:tcPr>
          <w:p>
            <w:pPr>
              <w:spacing w:after="20"/>
            </w:pPr>
            <w:r>
              <w:rPr>
                <w:b/>
                <w:sz w:val="17"/>
              </w:rPr>
            </w:r>
            <w:r>
              <w:rPr>
                <w:b/>
                <w:sz w:val="17"/>
              </w:rPr>
              <w:t>#</w:t>
            </w:r>
          </w:p>
        </w:tc>
        <w:tc>
          <w:tcPr>
            <w:tcW w:type="dxa" w:w="3249"/>
            <w:shd w:val="clear" w:color="auto" w:fill="E5E7EB"/>
          </w:tcPr>
          <w:p>
            <w:pPr>
              <w:spacing w:after="20"/>
            </w:pPr>
            <w:r>
              <w:rPr>
                <w:b/>
                <w:sz w:val="17"/>
              </w:rPr>
            </w:r>
            <w:r>
              <w:rPr>
                <w:b/>
                <w:sz w:val="17"/>
              </w:rPr>
              <w:t>Lesson</w:t>
            </w:r>
          </w:p>
        </w:tc>
        <w:tc>
          <w:tcPr>
            <w:tcW w:type="dxa" w:w="3249"/>
            <w:shd w:val="clear" w:color="auto" w:fill="E5E7EB"/>
          </w:tcPr>
          <w:p>
            <w:pPr>
              <w:spacing w:after="20"/>
            </w:pPr>
            <w:r>
              <w:rPr>
                <w:b/>
                <w:sz w:val="17"/>
              </w:rPr>
            </w:r>
            <w:r>
              <w:rPr>
                <w:b/>
                <w:sz w:val="17"/>
              </w:rPr>
              <w:t>Mathematics module</w:t>
            </w:r>
          </w:p>
        </w:tc>
      </w:tr>
      <w:tr>
        <w:tc>
          <w:tcPr>
            <w:tcW w:type="dxa" w:w="3249"/>
          </w:tcPr>
          <w:p>
            <w:pPr>
              <w:spacing w:after="20"/>
            </w:pPr>
            <w:r>
              <w:rPr>
                <w:sz w:val="17"/>
              </w:rPr>
            </w:r>
            <w:r>
              <w:rPr>
                <w:sz w:val="17"/>
              </w:rPr>
              <w:t>1</w:t>
            </w:r>
          </w:p>
        </w:tc>
        <w:tc>
          <w:tcPr>
            <w:tcW w:type="dxa" w:w="3249"/>
          </w:tcPr>
          <w:p>
            <w:pPr>
              <w:spacing w:after="20"/>
            </w:pPr>
            <w:r>
              <w:rPr>
                <w:sz w:val="17"/>
              </w:rPr>
            </w:r>
            <w:r>
              <w:rPr>
                <w:sz w:val="17"/>
              </w:rPr>
              <w:t>Gradient descent (Cauchy, 1847 → Stanford, 1960 → today)</w:t>
            </w:r>
          </w:p>
        </w:tc>
        <w:tc>
          <w:tcPr>
            <w:tcW w:type="dxa" w:w="3249"/>
          </w:tcPr>
          <w:p>
            <w:pPr>
              <w:spacing w:after="20"/>
            </w:pPr>
            <w:r>
              <w:rPr>
                <w:sz w:val="17"/>
              </w:rPr>
            </w:r>
            <w:r>
              <w:rPr>
                <w:rFonts w:ascii="Consolas" w:hAnsi="Consolas"/>
                <w:sz w:val="17"/>
              </w:rPr>
              <w:t>gradient_descent.py</w:t>
            </w:r>
            <w:r>
              <w:rPr>
                <w:sz w:val="17"/>
              </w:rPr>
              <w:t xml:space="preserve">, </w:t>
            </w:r>
            <w:r>
              <w:rPr>
                <w:rFonts w:ascii="Consolas" w:hAnsi="Consolas"/>
                <w:sz w:val="17"/>
              </w:rPr>
              <w:t>adaptive_filter.py</w:t>
            </w:r>
          </w:p>
        </w:tc>
      </w:tr>
      <w:tr>
        <w:tc>
          <w:tcPr>
            <w:tcW w:type="dxa" w:w="3249"/>
          </w:tcPr>
          <w:p>
            <w:pPr>
              <w:spacing w:after="20"/>
            </w:pPr>
            <w:r>
              <w:rPr>
                <w:sz w:val="17"/>
              </w:rPr>
            </w:r>
            <w:r>
              <w:rPr>
                <w:sz w:val="17"/>
              </w:rPr>
              <w:t>2</w:t>
            </w:r>
          </w:p>
        </w:tc>
        <w:tc>
          <w:tcPr>
            <w:tcW w:type="dxa" w:w="3249"/>
          </w:tcPr>
          <w:p>
            <w:pPr>
              <w:spacing w:after="20"/>
            </w:pPr>
            <w:r>
              <w:rPr>
                <w:sz w:val="17"/>
              </w:rPr>
            </w:r>
            <w:r>
              <w:rPr>
                <w:sz w:val="17"/>
              </w:rPr>
              <w:t>Backpropagation</w:t>
            </w:r>
          </w:p>
        </w:tc>
        <w:tc>
          <w:tcPr>
            <w:tcW w:type="dxa" w:w="3249"/>
          </w:tcPr>
          <w:p>
            <w:pPr>
              <w:spacing w:after="20"/>
            </w:pPr>
            <w:r>
              <w:rPr>
                <w:sz w:val="17"/>
              </w:rPr>
            </w:r>
            <w:r>
              <w:rPr>
                <w:rFonts w:ascii="Consolas" w:hAnsi="Consolas"/>
                <w:sz w:val="17"/>
              </w:rPr>
              <w:t>backprop.py</w:t>
            </w:r>
          </w:p>
        </w:tc>
      </w:tr>
      <w:tr>
        <w:tc>
          <w:tcPr>
            <w:tcW w:type="dxa" w:w="3249"/>
          </w:tcPr>
          <w:p>
            <w:pPr>
              <w:spacing w:after="20"/>
            </w:pPr>
            <w:r>
              <w:rPr>
                <w:sz w:val="17"/>
              </w:rPr>
            </w:r>
            <w:r>
              <w:rPr>
                <w:sz w:val="17"/>
              </w:rPr>
              <w:t>3</w:t>
            </w:r>
          </w:p>
        </w:tc>
        <w:tc>
          <w:tcPr>
            <w:tcW w:type="dxa" w:w="3249"/>
          </w:tcPr>
          <w:p>
            <w:pPr>
              <w:spacing w:after="20"/>
            </w:pPr>
            <w:r>
              <w:rPr>
                <w:sz w:val="17"/>
              </w:rPr>
            </w:r>
            <w:r>
              <w:rPr>
                <w:sz w:val="17"/>
              </w:rPr>
              <w:t>Vectors and the dot product</w:t>
            </w:r>
          </w:p>
        </w:tc>
        <w:tc>
          <w:tcPr>
            <w:tcW w:type="dxa" w:w="3249"/>
          </w:tcPr>
          <w:p>
            <w:pPr>
              <w:spacing w:after="20"/>
            </w:pPr>
            <w:r>
              <w:rPr>
                <w:sz w:val="17"/>
              </w:rPr>
            </w:r>
            <w:r>
              <w:rPr>
                <w:rFonts w:ascii="Consolas" w:hAnsi="Consolas"/>
                <w:sz w:val="17"/>
              </w:rPr>
              <w:t>vectors.py</w:t>
            </w:r>
          </w:p>
        </w:tc>
      </w:tr>
      <w:tr>
        <w:tc>
          <w:tcPr>
            <w:tcW w:type="dxa" w:w="3249"/>
          </w:tcPr>
          <w:p>
            <w:pPr>
              <w:spacing w:after="20"/>
            </w:pPr>
            <w:r>
              <w:rPr>
                <w:sz w:val="17"/>
              </w:rPr>
            </w:r>
            <w:r>
              <w:rPr>
                <w:sz w:val="17"/>
              </w:rPr>
              <w:t>4</w:t>
            </w:r>
          </w:p>
        </w:tc>
        <w:tc>
          <w:tcPr>
            <w:tcW w:type="dxa" w:w="3249"/>
          </w:tcPr>
          <w:p>
            <w:pPr>
              <w:spacing w:after="20"/>
            </w:pPr>
            <w:r>
              <w:rPr>
                <w:sz w:val="17"/>
              </w:rPr>
            </w:r>
            <w:r>
              <w:rPr>
                <w:sz w:val="17"/>
              </w:rPr>
              <w:t>Matrices as transformations</w:t>
            </w:r>
          </w:p>
        </w:tc>
        <w:tc>
          <w:tcPr>
            <w:tcW w:type="dxa" w:w="3249"/>
          </w:tcPr>
          <w:p>
            <w:pPr>
              <w:spacing w:after="20"/>
            </w:pPr>
            <w:r>
              <w:rPr>
                <w:sz w:val="17"/>
              </w:rPr>
            </w:r>
            <w:r>
              <w:rPr>
                <w:rFonts w:ascii="Consolas" w:hAnsi="Consolas"/>
                <w:sz w:val="17"/>
              </w:rPr>
              <w:t>matrices.py</w:t>
            </w:r>
          </w:p>
        </w:tc>
      </w:tr>
      <w:tr>
        <w:tc>
          <w:tcPr>
            <w:tcW w:type="dxa" w:w="3249"/>
          </w:tcPr>
          <w:p>
            <w:pPr>
              <w:spacing w:after="20"/>
            </w:pPr>
            <w:r>
              <w:rPr>
                <w:sz w:val="17"/>
              </w:rPr>
            </w:r>
            <w:r>
              <w:rPr>
                <w:sz w:val="17"/>
              </w:rPr>
              <w:t>5</w:t>
            </w:r>
          </w:p>
        </w:tc>
        <w:tc>
          <w:tcPr>
            <w:tcW w:type="dxa" w:w="3249"/>
          </w:tcPr>
          <w:p>
            <w:pPr>
              <w:spacing w:after="20"/>
            </w:pPr>
            <w:r>
              <w:rPr>
                <w:sz w:val="17"/>
              </w:rPr>
            </w:r>
            <w:r>
              <w:rPr>
                <w:sz w:val="17"/>
              </w:rPr>
              <w:t>Softmax and cross-entropy</w:t>
            </w:r>
          </w:p>
        </w:tc>
        <w:tc>
          <w:tcPr>
            <w:tcW w:type="dxa" w:w="3249"/>
          </w:tcPr>
          <w:p>
            <w:pPr>
              <w:spacing w:after="20"/>
            </w:pPr>
            <w:r>
              <w:rPr>
                <w:sz w:val="17"/>
              </w:rPr>
            </w:r>
            <w:r>
              <w:rPr>
                <w:rFonts w:ascii="Consolas" w:hAnsi="Consolas"/>
                <w:sz w:val="17"/>
              </w:rPr>
              <w:t>softmax.py</w:t>
            </w:r>
          </w:p>
        </w:tc>
      </w:tr>
      <w:tr>
        <w:tc>
          <w:tcPr>
            <w:tcW w:type="dxa" w:w="3249"/>
          </w:tcPr>
          <w:p>
            <w:pPr>
              <w:spacing w:after="20"/>
            </w:pPr>
            <w:r>
              <w:rPr>
                <w:sz w:val="17"/>
              </w:rPr>
            </w:r>
            <w:r>
              <w:rPr>
                <w:sz w:val="17"/>
              </w:rPr>
              <w:t>6</w:t>
            </w:r>
          </w:p>
        </w:tc>
        <w:tc>
          <w:tcPr>
            <w:tcW w:type="dxa" w:w="3249"/>
          </w:tcPr>
          <w:p>
            <w:pPr>
              <w:spacing w:after="20"/>
            </w:pPr>
            <w:r>
              <w:rPr>
                <w:sz w:val="17"/>
              </w:rPr>
            </w:r>
            <w:r>
              <w:rPr>
                <w:sz w:val="17"/>
              </w:rPr>
              <w:t>Linear and logistic regression</w:t>
            </w:r>
          </w:p>
        </w:tc>
        <w:tc>
          <w:tcPr>
            <w:tcW w:type="dxa" w:w="3249"/>
          </w:tcPr>
          <w:p>
            <w:pPr>
              <w:spacing w:after="20"/>
            </w:pPr>
            <w:r>
              <w:rPr>
                <w:sz w:val="17"/>
              </w:rPr>
            </w:r>
            <w:r>
              <w:rPr>
                <w:rFonts w:ascii="Consolas" w:hAnsi="Consolas"/>
                <w:sz w:val="17"/>
              </w:rPr>
              <w:t>regression.py</w:t>
            </w:r>
          </w:p>
        </w:tc>
      </w:tr>
    </w:tbl>
    <w:p/>
    <w:p>
      <w:r>
        <w:t xml:space="preserve">Each lesson ships as a 720p video with SRT and VTT captions, a chapter file and an SEO/AEO/GEO pack (captions and packs are in </w:t>
      </w:r>
      <w:r>
        <w:rPr>
          <w:rFonts w:ascii="Consolas" w:hAnsi="Consolas"/>
          <w:sz w:val="19"/>
        </w:rPr>
        <w:t>results/</w:t>
      </w:r>
      <w:r>
        <w:t>).</w:t>
      </w:r>
    </w:p>
    <w:p>
      <w:pPr>
        <w:pStyle w:val="Heading1"/>
      </w:pPr>
      <w:r>
        <w:t>9. Repository layout</w:t>
      </w:r>
    </w:p>
    <w:p>
      <w:r>
        <w:t>This public repository:</w:t>
      </w:r>
    </w:p>
    <w:p>
      <w:pPr>
        <w:ind w:left="283"/>
      </w:pPr>
      <w:r>
        <w:rPr>
          <w:rFonts w:ascii="Consolas" w:hAnsi="Consolas"/>
          <w:sz w:val="17"/>
        </w:rPr>
        <w:t>avirmath-ai-showcase/</w:t>
        <w:br/>
        <w:t>├─ README.md, RESULTS.md, DECISIONS.md, DATASETS.md</w:t>
        <w:br/>
        <w:t>├─ LICENSE (Apache-2.0, code) · LICENSE-CONTENT.md (CC BY-NC 4.0, lessons)</w:t>
        <w:br/>
        <w:t>├─ docs/                           this document, the plain-language explainer, figures</w:t>
        <w:br/>
        <w:t>├─ lessons/&lt;id&gt;/lesson.yaml        one lesson file per concept; CATALOG.md lists the 21 topics</w:t>
        <w:br/>
        <w:t>├─ src/avirmath/mathcore/          tested mathematics, one module per concept, lesson_facts()</w:t>
        <w:br/>
        <w:t>├─ src/avirmath/lesson/            schema.json and loader (validation, facts binding, checked_by)</w:t>
        <w:br/>
        <w:t>├─ tests/                          125 pytest tests</w:t>
        <w:br/>
        <w:t>├─ data/                           the three UCI datasets modelled on screen</w:t>
        <w:br/>
        <w:t>├─ results/&lt;id&gt;/                   captions, chapters, descriptions and AI summaries per lesson</w:t>
        <w:br/>
        <w:t>└─ thumbnails/                     published video thumbnails</w:t>
      </w:r>
    </w:p>
    <w:p>
      <w:r>
        <w:t>The production pipeline (narration, animation, rendering, site generation) lives in a private repository.</w:t>
      </w:r>
    </w:p>
    <w:p>
      <w:pPr>
        <w:pStyle w:val="Heading1"/>
      </w:pPr>
      <w:r>
        <w:t>10. Reproducibility</w:t>
      </w:r>
    </w:p>
    <w:p>
      <w:r>
        <w:t>From this repository:</w:t>
      </w:r>
    </w:p>
    <w:p>
      <w:pPr>
        <w:ind w:left="283"/>
      </w:pPr>
      <w:r>
        <w:rPr>
          <w:rFonts w:ascii="Consolas" w:hAnsi="Consolas"/>
          <w:sz w:val="17"/>
        </w:rPr>
        <w:t>python -m venv .venv</w:t>
        <w:br/>
        <w:t>.venv/Scripts/pip install -e ".[test]"</w:t>
        <w:br/>
        <w:t>python -m pytest -q</w:t>
      </w:r>
    </w:p>
    <w:p>
      <w:r>
        <w:t xml:space="preserve">Every number quoted in a lesson can be regenerated with </w:t>
      </w:r>
      <w:r>
        <w:rPr>
          <w:rFonts w:ascii="Consolas" w:hAnsi="Consolas"/>
          <w:sz w:val="19"/>
        </w:rPr>
        <w:t>lesson_facts()</w:t>
      </w:r>
      <w:r>
        <w:t xml:space="preserve"> from the corresponding module, and every lesson file can be validated with </w:t>
      </w:r>
      <w:r>
        <w:rPr>
          <w:rFonts w:ascii="Consolas" w:hAnsi="Consolas"/>
          <w:sz w:val="19"/>
        </w:rPr>
        <w:t>avirmath.lesson.loader.load_lesson</w:t>
      </w:r>
      <w:r>
        <w:t>. The figures are generated from code, so they can be revised for a journal's style requirements (size, font, greyscale) without redrawing.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