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PROBLEM - SOLUTION FIT</w:t>
      </w:r>
    </w:p>
    <w:p>
      <w:pPr>
        <w:pStyle w:val="Title"/>
        <w:spacing w:after="60"/>
      </w:pPr>
      <w:r>
        <w:t>Problem - Solution Fit</w:t>
      </w:r>
    </w:p>
    <w:p>
      <w:pPr>
        <w:spacing w:after="180"/>
      </w:pPr>
      <w:r>
        <w:rPr>
          <w:i/>
          <w:color w:val="60717E"/>
          <w:sz w:val="20"/>
        </w:rPr>
        <w:t>Validate that the proposed automation directly addresses the observed incident-management 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63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Fit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Target user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Incident process participants: reporters, support engineers, incident managers and auditors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Core problem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Manual or fragmented incident handling causes delays, unclear ownership, missed SLA actions and weak traceability.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Existing workaround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Email/chat/manual trackers and repeated follow-ups can coordinate the work, but the lifecycle remains fragmented.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Proposed solution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One rule-driven workflow that creates, routes, tracks, escalates, resolves and closes incidents while maintaining history.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Key trigger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A new incident, ownership change, approaching SLA, SLA breach, resolution submission or closure confirmation.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Behavior to leverage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Users already need to log, update, assign, monitor and review incidents; automation connects these actions rather than adding a separate process.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Expected value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Faster routing, visible ownership, earlier escalation, consistent status updates and audit-ready history.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Fit test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8"/>
              </w:rPr>
              <w:t>Each major automation maps to a known lifecycle pain and produces an observable operational outcome.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Problem-Solution Fit checklist</w:t>
      </w:r>
    </w:p>
    <w:p>
      <w:pPr>
        <w:pStyle w:val="ListBullet"/>
        <w:spacing w:after="40"/>
      </w:pPr>
      <w:r>
        <w:t>Solves a frequent operational problem: yes - incident handling happens repeatedly.</w:t>
      </w:r>
    </w:p>
    <w:p>
      <w:pPr>
        <w:pStyle w:val="ListBullet"/>
        <w:spacing w:after="40"/>
      </w:pPr>
      <w:r>
        <w:t>Fits existing behavior: yes - automation supports the same intake, triage, assignment, resolution and review activities.</w:t>
      </w:r>
    </w:p>
    <w:p>
      <w:pPr>
        <w:pStyle w:val="ListBullet"/>
        <w:spacing w:after="40"/>
      </w:pPr>
      <w:r>
        <w:t>Creates measurable benefit: yes - ownership time, SLA risk and lifecycle visibility can be tracked.</w:t>
      </w:r>
    </w:p>
    <w:p>
      <w:pPr>
        <w:pStyle w:val="ListBullet"/>
        <w:spacing w:after="40"/>
      </w:pPr>
      <w:r>
        <w:t>Avoids unnecessary scope: the initial build stays focused on the incident lifecycle workflow.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